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07069" w14:textId="77777777" w:rsidR="00C365E8" w:rsidRPr="000409BA" w:rsidRDefault="00C365E8" w:rsidP="00C365E8">
      <w:pPr>
        <w:jc w:val="center"/>
        <w:rPr>
          <w:rFonts w:ascii="Times New Roman" w:hAnsi="Times New Roman" w:cs="Times New Roman"/>
          <w:sz w:val="48"/>
          <w:szCs w:val="48"/>
        </w:rPr>
      </w:pPr>
      <w:r w:rsidRPr="000409BA">
        <w:rPr>
          <w:rFonts w:ascii="Times New Roman" w:hAnsi="Times New Roman" w:cs="Times New Roman"/>
          <w:sz w:val="48"/>
          <w:szCs w:val="48"/>
        </w:rPr>
        <w:t>EU-ARMENIA CIVIL SOCIETY PLATFORM</w:t>
      </w:r>
    </w:p>
    <w:p w14:paraId="1F952E62" w14:textId="77777777" w:rsidR="00C365E8" w:rsidRPr="000409BA" w:rsidRDefault="00C365E8" w:rsidP="00C365E8">
      <w:pPr>
        <w:jc w:val="center"/>
        <w:rPr>
          <w:rFonts w:ascii="Times New Roman" w:hAnsi="Times New Roman" w:cs="Times New Roman"/>
          <w:sz w:val="48"/>
          <w:szCs w:val="48"/>
        </w:rPr>
      </w:pPr>
    </w:p>
    <w:p w14:paraId="39212EF5" w14:textId="67FBE6AC" w:rsidR="00C365E8" w:rsidRPr="000409BA" w:rsidRDefault="00C365E8" w:rsidP="00C365E8">
      <w:pPr>
        <w:jc w:val="center"/>
        <w:rPr>
          <w:rFonts w:ascii="Times New Roman" w:hAnsi="Times New Roman" w:cs="Times New Roman"/>
          <w:sz w:val="48"/>
          <w:szCs w:val="48"/>
        </w:rPr>
      </w:pPr>
      <w:r w:rsidRPr="000409BA">
        <w:rPr>
          <w:rFonts w:ascii="Times New Roman" w:hAnsi="Times New Roman" w:cs="Times New Roman"/>
          <w:sz w:val="48"/>
          <w:szCs w:val="48"/>
        </w:rPr>
        <w:t xml:space="preserve"> REPORT</w:t>
      </w:r>
    </w:p>
    <w:p w14:paraId="4A9F0316" w14:textId="77777777" w:rsidR="00C365E8" w:rsidRPr="000409BA" w:rsidRDefault="00C365E8" w:rsidP="00C365E8">
      <w:pPr>
        <w:jc w:val="center"/>
        <w:rPr>
          <w:rFonts w:ascii="Times New Roman" w:hAnsi="Times New Roman" w:cs="Times New Roman"/>
          <w:sz w:val="48"/>
          <w:szCs w:val="48"/>
        </w:rPr>
      </w:pPr>
    </w:p>
    <w:p w14:paraId="1196F329" w14:textId="77777777" w:rsidR="00767BC2" w:rsidRDefault="00517D1C" w:rsidP="00C365E8">
      <w:pPr>
        <w:jc w:val="center"/>
        <w:rPr>
          <w:rFonts w:ascii="Times New Roman" w:hAnsi="Times New Roman" w:cs="Times New Roman"/>
        </w:rPr>
      </w:pPr>
      <w:r w:rsidRPr="000409BA">
        <w:rPr>
          <w:rFonts w:ascii="Times New Roman" w:hAnsi="Times New Roman" w:cs="Times New Roman"/>
        </w:rPr>
        <w:t>On the I</w:t>
      </w:r>
      <w:r w:rsidR="00C365E8" w:rsidRPr="000409BA">
        <w:rPr>
          <w:rFonts w:ascii="Times New Roman" w:hAnsi="Times New Roman" w:cs="Times New Roman"/>
        </w:rPr>
        <w:t>mplementation of the Comprehensive and Enhanced Partnership Agreement</w:t>
      </w:r>
      <w:r w:rsidRPr="000409BA">
        <w:rPr>
          <w:rFonts w:ascii="Times New Roman" w:hAnsi="Times New Roman" w:cs="Times New Roman"/>
        </w:rPr>
        <w:t xml:space="preserve"> </w:t>
      </w:r>
    </w:p>
    <w:p w14:paraId="0D6D9681" w14:textId="66FB2776" w:rsidR="00C365E8" w:rsidRPr="000409BA" w:rsidRDefault="00517D1C" w:rsidP="00C365E8">
      <w:pPr>
        <w:jc w:val="center"/>
        <w:rPr>
          <w:rFonts w:ascii="Times New Roman" w:hAnsi="Times New Roman" w:cs="Times New Roman"/>
        </w:rPr>
      </w:pPr>
      <w:r w:rsidRPr="000409BA">
        <w:rPr>
          <w:rFonts w:ascii="Times New Roman" w:hAnsi="Times New Roman" w:cs="Times New Roman"/>
        </w:rPr>
        <w:t>in 2024</w:t>
      </w:r>
    </w:p>
    <w:p w14:paraId="4913402D" w14:textId="77777777" w:rsidR="00C365E8" w:rsidRPr="000409BA" w:rsidRDefault="00C365E8" w:rsidP="00C365E8">
      <w:pPr>
        <w:jc w:val="center"/>
        <w:rPr>
          <w:rFonts w:ascii="Times New Roman" w:hAnsi="Times New Roman" w:cs="Times New Roman"/>
        </w:rPr>
      </w:pPr>
    </w:p>
    <w:p w14:paraId="5183DBBC" w14:textId="77777777" w:rsidR="00C365E8" w:rsidRPr="000409BA" w:rsidRDefault="00C365E8" w:rsidP="00C365E8">
      <w:pPr>
        <w:jc w:val="center"/>
        <w:rPr>
          <w:rFonts w:ascii="Times New Roman" w:hAnsi="Times New Roman" w:cs="Times New Roman"/>
        </w:rPr>
      </w:pPr>
    </w:p>
    <w:p w14:paraId="4A91A120" w14:textId="77777777" w:rsidR="00C365E8" w:rsidRPr="000409BA" w:rsidRDefault="00C365E8" w:rsidP="00C365E8">
      <w:pPr>
        <w:jc w:val="center"/>
        <w:rPr>
          <w:rFonts w:ascii="Times New Roman" w:hAnsi="Times New Roman" w:cs="Times New Roman"/>
        </w:rPr>
      </w:pPr>
    </w:p>
    <w:p w14:paraId="4FDF1CB2" w14:textId="77777777" w:rsidR="00C365E8" w:rsidRPr="000409BA" w:rsidRDefault="00C365E8" w:rsidP="00C365E8">
      <w:pPr>
        <w:jc w:val="center"/>
        <w:rPr>
          <w:rFonts w:ascii="Times New Roman" w:hAnsi="Times New Roman" w:cs="Times New Roman"/>
        </w:rPr>
      </w:pPr>
    </w:p>
    <w:p w14:paraId="3D5CAADC" w14:textId="77777777" w:rsidR="00C365E8" w:rsidRPr="000409BA" w:rsidRDefault="00C365E8" w:rsidP="00C365E8">
      <w:pPr>
        <w:jc w:val="center"/>
        <w:rPr>
          <w:rFonts w:ascii="Times New Roman" w:hAnsi="Times New Roman" w:cs="Times New Roman"/>
        </w:rPr>
      </w:pPr>
    </w:p>
    <w:p w14:paraId="27139DBA" w14:textId="77777777" w:rsidR="00C365E8" w:rsidRPr="000409BA" w:rsidRDefault="00C365E8" w:rsidP="00C365E8">
      <w:pPr>
        <w:jc w:val="center"/>
        <w:rPr>
          <w:rFonts w:ascii="Times New Roman" w:hAnsi="Times New Roman" w:cs="Times New Roman"/>
        </w:rPr>
      </w:pPr>
    </w:p>
    <w:p w14:paraId="3696C050" w14:textId="77777777" w:rsidR="00C365E8" w:rsidRPr="000409BA" w:rsidRDefault="00C365E8" w:rsidP="00C365E8">
      <w:pPr>
        <w:jc w:val="center"/>
        <w:rPr>
          <w:rFonts w:ascii="Times New Roman" w:hAnsi="Times New Roman" w:cs="Times New Roman"/>
        </w:rPr>
      </w:pPr>
    </w:p>
    <w:p w14:paraId="505C8B70" w14:textId="77777777" w:rsidR="00C365E8" w:rsidRPr="000409BA" w:rsidRDefault="00C365E8" w:rsidP="00C365E8">
      <w:pPr>
        <w:jc w:val="center"/>
        <w:rPr>
          <w:rFonts w:ascii="Times New Roman" w:hAnsi="Times New Roman" w:cs="Times New Roman"/>
        </w:rPr>
      </w:pPr>
    </w:p>
    <w:p w14:paraId="095E2161" w14:textId="77777777" w:rsidR="00C365E8" w:rsidRPr="000409BA" w:rsidRDefault="00C365E8" w:rsidP="00C365E8">
      <w:pPr>
        <w:jc w:val="center"/>
        <w:rPr>
          <w:rFonts w:ascii="Times New Roman" w:hAnsi="Times New Roman" w:cs="Times New Roman"/>
        </w:rPr>
      </w:pPr>
    </w:p>
    <w:p w14:paraId="7B3349F8" w14:textId="77777777" w:rsidR="00C365E8" w:rsidRPr="000409BA" w:rsidRDefault="00C365E8" w:rsidP="00C365E8">
      <w:pPr>
        <w:jc w:val="center"/>
        <w:rPr>
          <w:rFonts w:ascii="Times New Roman" w:hAnsi="Times New Roman" w:cs="Times New Roman"/>
        </w:rPr>
      </w:pPr>
    </w:p>
    <w:p w14:paraId="79A9B716" w14:textId="6A2C03EB" w:rsidR="00C365E8" w:rsidRPr="000409BA" w:rsidRDefault="00C365E8" w:rsidP="00C365E8">
      <w:pPr>
        <w:jc w:val="center"/>
        <w:rPr>
          <w:rFonts w:ascii="Times New Roman" w:hAnsi="Times New Roman" w:cs="Times New Roman"/>
        </w:rPr>
      </w:pPr>
      <w:r w:rsidRPr="000409BA">
        <w:rPr>
          <w:rFonts w:ascii="Times New Roman" w:hAnsi="Times New Roman" w:cs="Times New Roman"/>
        </w:rPr>
        <w:t>June 2025</w:t>
      </w:r>
    </w:p>
    <w:p w14:paraId="50162D82" w14:textId="77777777" w:rsidR="00C365E8" w:rsidRPr="000409BA" w:rsidRDefault="00C365E8" w:rsidP="00C365E8">
      <w:pPr>
        <w:rPr>
          <w:rFonts w:ascii="Times New Roman" w:hAnsi="Times New Roman" w:cs="Times New Roman"/>
          <w:b/>
          <w:bCs/>
        </w:rPr>
      </w:pPr>
    </w:p>
    <w:p w14:paraId="188137A8" w14:textId="77777777" w:rsidR="00C365E8" w:rsidRPr="000409BA" w:rsidRDefault="00C365E8" w:rsidP="00C365E8">
      <w:pPr>
        <w:rPr>
          <w:rFonts w:ascii="Times New Roman" w:hAnsi="Times New Roman" w:cs="Times New Roman"/>
          <w:b/>
          <w:bCs/>
        </w:rPr>
      </w:pPr>
    </w:p>
    <w:p w14:paraId="3040F163" w14:textId="77777777" w:rsidR="00C365E8" w:rsidRPr="000409BA" w:rsidRDefault="00C365E8" w:rsidP="00C365E8">
      <w:pPr>
        <w:rPr>
          <w:rFonts w:ascii="Times New Roman" w:hAnsi="Times New Roman" w:cs="Times New Roman"/>
          <w:b/>
          <w:bCs/>
        </w:rPr>
      </w:pPr>
    </w:p>
    <w:p w14:paraId="1B2BAB27" w14:textId="5AE869A2" w:rsidR="00C365E8" w:rsidRPr="000409BA" w:rsidRDefault="00E42B55" w:rsidP="00C365E8">
      <w:pPr>
        <w:rPr>
          <w:rFonts w:ascii="Times New Roman" w:hAnsi="Times New Roman" w:cs="Times New Roman"/>
        </w:rPr>
      </w:pPr>
      <w:r>
        <w:rPr>
          <w:rFonts w:ascii="Times New Roman" w:hAnsi="Times New Roman" w:cs="Times New Roman"/>
        </w:rPr>
        <w:t>E</w:t>
      </w:r>
      <w:r w:rsidR="00C365E8" w:rsidRPr="000409BA">
        <w:rPr>
          <w:rFonts w:ascii="Times New Roman" w:hAnsi="Times New Roman" w:cs="Times New Roman"/>
        </w:rPr>
        <w:t xml:space="preserve">dited by </w:t>
      </w:r>
      <w:proofErr w:type="spellStart"/>
      <w:r w:rsidR="00C365E8" w:rsidRPr="000409BA">
        <w:rPr>
          <w:rFonts w:ascii="Times New Roman" w:hAnsi="Times New Roman" w:cs="Times New Roman"/>
        </w:rPr>
        <w:t>L</w:t>
      </w:r>
      <w:r w:rsidR="00517D1C" w:rsidRPr="000409BA">
        <w:rPr>
          <w:rFonts w:ascii="Times New Roman" w:hAnsi="Times New Roman" w:cs="Times New Roman"/>
        </w:rPr>
        <w:t>o</w:t>
      </w:r>
      <w:r w:rsidR="00C365E8" w:rsidRPr="000409BA">
        <w:rPr>
          <w:rFonts w:ascii="Times New Roman" w:hAnsi="Times New Roman" w:cs="Times New Roman"/>
        </w:rPr>
        <w:t>usine</w:t>
      </w:r>
      <w:r w:rsidR="00517D1C" w:rsidRPr="000409BA">
        <w:rPr>
          <w:rFonts w:ascii="Times New Roman" w:hAnsi="Times New Roman" w:cs="Times New Roman"/>
        </w:rPr>
        <w:t>h</w:t>
      </w:r>
      <w:proofErr w:type="spellEnd"/>
      <w:r w:rsidR="00C365E8" w:rsidRPr="000409BA">
        <w:rPr>
          <w:rFonts w:ascii="Times New Roman" w:hAnsi="Times New Roman" w:cs="Times New Roman"/>
        </w:rPr>
        <w:t xml:space="preserve"> </w:t>
      </w:r>
      <w:proofErr w:type="spellStart"/>
      <w:r w:rsidR="00C365E8" w:rsidRPr="000409BA">
        <w:rPr>
          <w:rFonts w:ascii="Times New Roman" w:hAnsi="Times New Roman" w:cs="Times New Roman"/>
        </w:rPr>
        <w:t>Hakobyan</w:t>
      </w:r>
      <w:proofErr w:type="spellEnd"/>
      <w:r w:rsidR="00C365E8" w:rsidRPr="000409BA">
        <w:rPr>
          <w:rFonts w:ascii="Times New Roman" w:hAnsi="Times New Roman" w:cs="Times New Roman"/>
        </w:rPr>
        <w:t xml:space="preserve">, </w:t>
      </w:r>
      <w:r w:rsidR="00517D1C" w:rsidRPr="000409BA">
        <w:rPr>
          <w:rFonts w:ascii="Times New Roman" w:hAnsi="Times New Roman" w:cs="Times New Roman"/>
        </w:rPr>
        <w:t xml:space="preserve">Co-Chair of the EU-Armenia Civil Society Platform, President of </w:t>
      </w:r>
      <w:r w:rsidR="00C365E8" w:rsidRPr="000409BA">
        <w:rPr>
          <w:rFonts w:ascii="Times New Roman" w:hAnsi="Times New Roman" w:cs="Times New Roman"/>
        </w:rPr>
        <w:t xml:space="preserve">Europe in Law Association </w:t>
      </w:r>
      <w:r w:rsidR="00517D1C" w:rsidRPr="000409BA">
        <w:rPr>
          <w:rFonts w:ascii="Times New Roman" w:hAnsi="Times New Roman" w:cs="Times New Roman"/>
        </w:rPr>
        <w:t>NGO</w:t>
      </w:r>
    </w:p>
    <w:p w14:paraId="13A0B9AF" w14:textId="77777777" w:rsidR="00517D1C" w:rsidRPr="000409BA" w:rsidRDefault="00517D1C" w:rsidP="00C365E8">
      <w:pPr>
        <w:rPr>
          <w:rFonts w:ascii="Times New Roman" w:hAnsi="Times New Roman" w:cs="Times New Roman"/>
        </w:rPr>
      </w:pPr>
    </w:p>
    <w:p w14:paraId="18001D42" w14:textId="77777777" w:rsidR="00517D1C" w:rsidRPr="000409BA" w:rsidRDefault="00517D1C" w:rsidP="00C365E8">
      <w:pPr>
        <w:rPr>
          <w:rFonts w:ascii="Times New Roman" w:hAnsi="Times New Roman" w:cs="Times New Roman"/>
        </w:rPr>
      </w:pPr>
    </w:p>
    <w:p w14:paraId="594BF2BE" w14:textId="3D279893" w:rsidR="00653385" w:rsidRPr="000409BA" w:rsidRDefault="00517D1C" w:rsidP="00653385">
      <w:pPr>
        <w:rPr>
          <w:rFonts w:ascii="Times New Roman" w:eastAsia="Times New Roman" w:hAnsi="Times New Roman" w:cs="Times New Roman"/>
        </w:rPr>
      </w:pPr>
      <w:r w:rsidRPr="000409BA">
        <w:rPr>
          <w:rFonts w:ascii="Times New Roman" w:hAnsi="Times New Roman" w:cs="Times New Roman"/>
        </w:rPr>
        <w:t xml:space="preserve">The present Report was </w:t>
      </w:r>
      <w:r w:rsidR="00653385" w:rsidRPr="000409BA">
        <w:rPr>
          <w:rFonts w:ascii="Times New Roman" w:hAnsi="Times New Roman" w:cs="Times New Roman"/>
        </w:rPr>
        <w:t>produc</w:t>
      </w:r>
      <w:r w:rsidRPr="000409BA">
        <w:rPr>
          <w:rFonts w:ascii="Times New Roman" w:hAnsi="Times New Roman" w:cs="Times New Roman"/>
        </w:rPr>
        <w:t xml:space="preserve">ed </w:t>
      </w:r>
      <w:r w:rsidR="00E00FDF" w:rsidRPr="000409BA">
        <w:rPr>
          <w:rFonts w:ascii="Times New Roman" w:hAnsi="Times New Roman" w:cs="Times New Roman"/>
        </w:rPr>
        <w:t xml:space="preserve">by the Members of the EU-Armenia Civil Society Platform and experts invited by the Platform. </w:t>
      </w:r>
      <w:r w:rsidR="00923A74" w:rsidRPr="000409BA">
        <w:rPr>
          <w:rFonts w:ascii="Times New Roman" w:hAnsi="Times New Roman" w:cs="Times New Roman"/>
        </w:rPr>
        <w:t xml:space="preserve">Financially and intellectually it is exclusively the Platform’s product. Therefore, </w:t>
      </w:r>
      <w:r w:rsidR="00653385" w:rsidRPr="000409BA">
        <w:rPr>
          <w:rFonts w:ascii="Times New Roman" w:eastAsia="Times New Roman" w:hAnsi="Times New Roman" w:cs="Times New Roman"/>
          <w:color w:val="1F497D"/>
          <w:shd w:val="clear" w:color="auto" w:fill="FFFFFF"/>
        </w:rPr>
        <w:t>its c</w:t>
      </w:r>
      <w:r w:rsidR="00C34DCC">
        <w:rPr>
          <w:rFonts w:ascii="Times New Roman" w:eastAsia="Times New Roman" w:hAnsi="Times New Roman" w:cs="Times New Roman"/>
          <w:color w:val="1F497D"/>
          <w:shd w:val="clear" w:color="auto" w:fill="FFFFFF"/>
        </w:rPr>
        <w:t>ontent</w:t>
      </w:r>
      <w:r w:rsidR="00653385" w:rsidRPr="000409BA">
        <w:rPr>
          <w:rFonts w:ascii="Times New Roman" w:eastAsia="Times New Roman" w:hAnsi="Times New Roman" w:cs="Times New Roman"/>
          <w:color w:val="1F497D"/>
          <w:shd w:val="clear" w:color="auto" w:fill="FFFFFF"/>
        </w:rPr>
        <w:t xml:space="preserve"> </w:t>
      </w:r>
      <w:r w:rsidR="00C34DCC">
        <w:rPr>
          <w:rFonts w:ascii="Times New Roman" w:eastAsia="Times New Roman" w:hAnsi="Times New Roman" w:cs="Times New Roman"/>
          <w:color w:val="1F497D"/>
          <w:shd w:val="clear" w:color="auto" w:fill="FFFFFF"/>
        </w:rPr>
        <w:t>is</w:t>
      </w:r>
      <w:r w:rsidR="00653385" w:rsidRPr="000409BA">
        <w:rPr>
          <w:rFonts w:ascii="Times New Roman" w:eastAsia="Times New Roman" w:hAnsi="Times New Roman" w:cs="Times New Roman"/>
          <w:color w:val="1F497D"/>
          <w:shd w:val="clear" w:color="auto" w:fill="FFFFFF"/>
        </w:rPr>
        <w:t xml:space="preserve"> the sole responsibility of the EU-Armenia Civil Society Platform and </w:t>
      </w:r>
      <w:r w:rsidR="00653385" w:rsidRPr="00C34DCC">
        <w:rPr>
          <w:rFonts w:ascii="Times New Roman" w:eastAsia="Times New Roman" w:hAnsi="Times New Roman" w:cs="Times New Roman"/>
          <w:shd w:val="clear" w:color="auto" w:fill="FFFFFF"/>
        </w:rPr>
        <w:t>do</w:t>
      </w:r>
      <w:r w:rsidR="00C34DCC" w:rsidRPr="00C34DCC">
        <w:rPr>
          <w:rFonts w:ascii="Times New Roman" w:eastAsia="Times New Roman" w:hAnsi="Times New Roman" w:cs="Times New Roman"/>
          <w:shd w:val="clear" w:color="auto" w:fill="FFFFFF"/>
        </w:rPr>
        <w:t>es</w:t>
      </w:r>
      <w:r w:rsidR="00653385" w:rsidRPr="000409BA">
        <w:rPr>
          <w:rFonts w:ascii="Times New Roman" w:eastAsia="Times New Roman" w:hAnsi="Times New Roman" w:cs="Times New Roman"/>
          <w:color w:val="1F497D"/>
          <w:shd w:val="clear" w:color="auto" w:fill="FFFFFF"/>
        </w:rPr>
        <w:t xml:space="preserve"> not necessarily reflect the views of the European Union.</w:t>
      </w:r>
    </w:p>
    <w:p w14:paraId="51AC47A7" w14:textId="77777777" w:rsidR="00653385" w:rsidRPr="000409BA" w:rsidRDefault="00653385" w:rsidP="00653385">
      <w:pPr>
        <w:rPr>
          <w:rFonts w:ascii="Times New Roman" w:hAnsi="Times New Roman" w:cs="Times New Roman"/>
          <w:b/>
          <w:bCs/>
        </w:rPr>
      </w:pPr>
    </w:p>
    <w:p w14:paraId="0D38D9A6" w14:textId="45A9C8B0" w:rsidR="00756D15" w:rsidRPr="000D62E0" w:rsidRDefault="00756D15" w:rsidP="000D62E0">
      <w:pPr>
        <w:rPr>
          <w:rFonts w:ascii="Times New Roman" w:hAnsi="Times New Roman" w:cs="Times New Roman"/>
        </w:rPr>
      </w:pPr>
      <w:r w:rsidRPr="000D62E0">
        <w:rPr>
          <w:rFonts w:ascii="Times New Roman" w:hAnsi="Times New Roman" w:cs="Times New Roman"/>
          <w:b/>
          <w:lang w:val="hy-AM"/>
        </w:rPr>
        <w:lastRenderedPageBreak/>
        <w:t>FULFILLMENT OF THE REPUBLIC OF ARMENIA'S OBLIGATIONS UNDER THE ENERGY SECURITY TREATY</w:t>
      </w:r>
    </w:p>
    <w:p w14:paraId="1C6732B1" w14:textId="77777777" w:rsidR="002A26D5" w:rsidRPr="00092BD3" w:rsidRDefault="002A26D5" w:rsidP="00561013">
      <w:pPr>
        <w:spacing w:after="0" w:line="312" w:lineRule="auto"/>
        <w:ind w:firstLine="432"/>
        <w:jc w:val="center"/>
        <w:rPr>
          <w:rFonts w:ascii="Times New Roman" w:hAnsi="Times New Roman" w:cs="Times New Roman"/>
          <w:b/>
          <w:lang w:val="hy-AM"/>
        </w:rPr>
      </w:pPr>
    </w:p>
    <w:p w14:paraId="368913E5" w14:textId="77777777" w:rsidR="002A26D5" w:rsidRPr="00092BD3" w:rsidRDefault="002A26D5" w:rsidP="002A26D5">
      <w:pPr>
        <w:spacing w:after="0" w:line="312" w:lineRule="auto"/>
        <w:ind w:firstLine="432"/>
        <w:jc w:val="right"/>
        <w:rPr>
          <w:rFonts w:ascii="Times New Roman" w:hAnsi="Times New Roman" w:cs="Times New Roman"/>
          <w:b/>
          <w:lang w:val="hy-AM"/>
        </w:rPr>
      </w:pPr>
      <w:r w:rsidRPr="00092BD3">
        <w:rPr>
          <w:rFonts w:ascii="Times New Roman" w:hAnsi="Times New Roman" w:cs="Times New Roman"/>
          <w:b/>
          <w:lang w:val="hy-AM"/>
        </w:rPr>
        <w:t>Hovsep Khurshudyan</w:t>
      </w:r>
    </w:p>
    <w:p w14:paraId="1A068A78" w14:textId="6B1C8BF0" w:rsidR="002A26D5" w:rsidRPr="00092BD3" w:rsidRDefault="002A26D5" w:rsidP="002A26D5">
      <w:pPr>
        <w:spacing w:after="0" w:line="312" w:lineRule="auto"/>
        <w:ind w:firstLine="432"/>
        <w:jc w:val="right"/>
        <w:rPr>
          <w:rFonts w:ascii="Times New Roman" w:hAnsi="Times New Roman" w:cs="Times New Roman"/>
          <w:b/>
          <w:lang w:val="hy-AM"/>
        </w:rPr>
      </w:pPr>
      <w:r w:rsidRPr="00092BD3">
        <w:rPr>
          <w:rFonts w:ascii="Times New Roman" w:hAnsi="Times New Roman" w:cs="Times New Roman"/>
          <w:b/>
          <w:lang w:val="hy-AM"/>
        </w:rPr>
        <w:t>President of the ''Free Citizen'' NGO</w:t>
      </w:r>
    </w:p>
    <w:p w14:paraId="59027D29" w14:textId="77777777" w:rsidR="00756D15" w:rsidRPr="00092BD3" w:rsidRDefault="00756D15" w:rsidP="00561013">
      <w:pPr>
        <w:spacing w:after="0" w:line="312" w:lineRule="auto"/>
        <w:ind w:firstLine="432"/>
        <w:jc w:val="both"/>
        <w:rPr>
          <w:rFonts w:ascii="Times New Roman" w:hAnsi="Times New Roman" w:cs="Times New Roman"/>
          <w:lang w:val="hy-AM"/>
        </w:rPr>
      </w:pPr>
    </w:p>
    <w:p w14:paraId="7A409990" w14:textId="1F79103A" w:rsidR="007409AB" w:rsidRPr="00092BD3" w:rsidRDefault="00092BD3" w:rsidP="007409AB">
      <w:pPr>
        <w:pStyle w:val="NormalWeb"/>
        <w:jc w:val="both"/>
        <w:rPr>
          <w:bCs/>
          <w:sz w:val="22"/>
          <w:szCs w:val="22"/>
        </w:rPr>
      </w:pPr>
      <w:r w:rsidRPr="00092BD3">
        <w:rPr>
          <w:rStyle w:val="Strong"/>
          <w:b w:val="0"/>
          <w:sz w:val="22"/>
          <w:szCs w:val="22"/>
        </w:rPr>
        <w:t>The</w:t>
      </w:r>
      <w:r>
        <w:rPr>
          <w:rStyle w:val="Strong"/>
          <w:sz w:val="22"/>
          <w:szCs w:val="22"/>
        </w:rPr>
        <w:t xml:space="preserve"> </w:t>
      </w:r>
      <w:r w:rsidR="007409AB" w:rsidRPr="00092BD3">
        <w:rPr>
          <w:bCs/>
          <w:sz w:val="22"/>
          <w:szCs w:val="22"/>
        </w:rPr>
        <w:t>security component of the CEPA covers energy security, regional security, peace and stability, control of the proliferation of conventional arms, trafficking, cybersecurity, and food security. This report presents the Republic of Armenia’s commitments in the field of energy security and the progress of their implementation.</w:t>
      </w:r>
    </w:p>
    <w:p w14:paraId="1B5033B5"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In the Preamble to CEPA, the Parties specify as follows:</w:t>
      </w:r>
    </w:p>
    <w:p w14:paraId="6EDC6D1C"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COMMITTED to enhancing the security and safety of the energy supply, facilitating the development of appropriate infrastructure, increasing market integration and gradual approximation with the key elements of the EU acquis referred to hereinafter, including, inter alia, by promoting energy efficiency and the use of renewable energy sources, taking into account commitments of the Republic of Armenia to the principles of equal treatment of energy-supplier, -transit, and -consumer countries;</w:t>
      </w:r>
    </w:p>
    <w:p w14:paraId="1952BA85"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COMMITTED to high levels of nuclear safety and nuclear security, as referred to hereinafter; EU/AM/en 8 ACKNOWLEDGING the need for enhanced energy cooperation, and the commitment of the Parties to fully respect the provisions of the Energy Charter Treaty;</w:t>
      </w:r>
    </w:p>
    <w:p w14:paraId="15CA30CC"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Article 42 of Chapter 2 (CHAPTER 2: ENERGY COOPERATION, INCLUDING NUCLEAR SAFETY) highlights the importance of developing energy strategies and policies, including for the promotion of energy security and diversity of energy supplies and power generation.</w:t>
      </w:r>
    </w:p>
    <w:p w14:paraId="08BEC998"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High levels of nuclear security, on the basis of international guidance and practices, are prioritized, too.</w:t>
      </w:r>
    </w:p>
    <w:p w14:paraId="1A488AA3"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ARTICLE 123 Customs cooperation 1. The Parties shall strengthen cooperation in the area of customs in order to facilitate trade, ensure a transparent trade environment, enhance supply chain security, promote safety of consumers, prevent flows of goods infringing intellectual property rights and fight smuggling and fraud.</w:t>
      </w:r>
    </w:p>
    <w:p w14:paraId="6BFB4E74" w14:textId="77777777" w:rsidR="007409AB" w:rsidRPr="00092BD3" w:rsidRDefault="007409AB" w:rsidP="007409AB">
      <w:pPr>
        <w:pStyle w:val="NormalWeb"/>
        <w:rPr>
          <w:sz w:val="22"/>
          <w:szCs w:val="22"/>
        </w:rPr>
      </w:pPr>
      <w:r w:rsidRPr="00092BD3">
        <w:rPr>
          <w:rStyle w:val="Strong"/>
          <w:sz w:val="22"/>
          <w:szCs w:val="22"/>
        </w:rPr>
        <w:t>Implementation of the Republic of Armenia’s Commitments under the CEPA in the Field of Energy Security</w:t>
      </w:r>
    </w:p>
    <w:p w14:paraId="22FD9DAC" w14:textId="77777777" w:rsidR="007409AB" w:rsidRPr="00092BD3" w:rsidRDefault="007409AB" w:rsidP="007409AB">
      <w:pPr>
        <w:pStyle w:val="NormalWeb"/>
        <w:rPr>
          <w:b/>
          <w:bCs/>
          <w:sz w:val="22"/>
          <w:szCs w:val="22"/>
        </w:rPr>
      </w:pPr>
      <w:r w:rsidRPr="00092BD3">
        <w:rPr>
          <w:b/>
          <w:bCs/>
          <w:sz w:val="22"/>
          <w:szCs w:val="22"/>
        </w:rPr>
        <w:t>To achieve the object</w:t>
      </w:r>
      <w:bookmarkStart w:id="0" w:name="_GoBack"/>
      <w:bookmarkEnd w:id="0"/>
      <w:r w:rsidRPr="00092BD3">
        <w:rPr>
          <w:b/>
          <w:bCs/>
          <w:sz w:val="22"/>
          <w:szCs w:val="22"/>
        </w:rPr>
        <w:t>ives outlined in the CEPA, the following actions are envisaged:</w:t>
      </w:r>
    </w:p>
    <w:p w14:paraId="769687C1" w14:textId="77777777" w:rsidR="007409AB" w:rsidRPr="00092BD3" w:rsidRDefault="007409AB" w:rsidP="007409AB">
      <w:pPr>
        <w:pStyle w:val="NormalWeb"/>
        <w:numPr>
          <w:ilvl w:val="0"/>
          <w:numId w:val="15"/>
        </w:numPr>
        <w:spacing w:before="100" w:beforeAutospacing="1" w:after="100" w:afterAutospacing="1" w:line="240" w:lineRule="auto"/>
        <w:rPr>
          <w:b/>
          <w:bCs/>
          <w:sz w:val="22"/>
          <w:szCs w:val="22"/>
        </w:rPr>
      </w:pPr>
      <w:r w:rsidRPr="00092BD3">
        <w:rPr>
          <w:b/>
          <w:bCs/>
          <w:sz w:val="22"/>
          <w:szCs w:val="22"/>
        </w:rPr>
        <w:t xml:space="preserve">Enhancing energy security and diversification of energy sources, along with enhancing energy </w:t>
      </w:r>
      <w:proofErr w:type="spellStart"/>
      <w:r w:rsidRPr="00092BD3">
        <w:rPr>
          <w:b/>
          <w:bCs/>
          <w:sz w:val="22"/>
          <w:szCs w:val="22"/>
        </w:rPr>
        <w:t>effenciency</w:t>
      </w:r>
      <w:proofErr w:type="spellEnd"/>
      <w:r w:rsidRPr="00092BD3">
        <w:rPr>
          <w:b/>
          <w:bCs/>
          <w:sz w:val="22"/>
          <w:szCs w:val="22"/>
        </w:rPr>
        <w:t>;</w:t>
      </w:r>
    </w:p>
    <w:p w14:paraId="07E2E0C4" w14:textId="77777777" w:rsidR="007409AB" w:rsidRPr="00092BD3" w:rsidRDefault="007409AB" w:rsidP="007409AB">
      <w:pPr>
        <w:pStyle w:val="NormalWeb"/>
        <w:numPr>
          <w:ilvl w:val="0"/>
          <w:numId w:val="15"/>
        </w:numPr>
        <w:spacing w:before="100" w:beforeAutospacing="1" w:after="100" w:afterAutospacing="1" w:line="240" w:lineRule="auto"/>
        <w:rPr>
          <w:b/>
          <w:bCs/>
          <w:sz w:val="22"/>
          <w:szCs w:val="22"/>
        </w:rPr>
      </w:pPr>
      <w:r w:rsidRPr="00092BD3">
        <w:rPr>
          <w:b/>
          <w:bCs/>
          <w:sz w:val="22"/>
          <w:szCs w:val="22"/>
        </w:rPr>
        <w:t>Developing competitive and transparent energy markets;</w:t>
      </w:r>
    </w:p>
    <w:p w14:paraId="25D5772D" w14:textId="77777777" w:rsidR="007409AB" w:rsidRPr="00092BD3" w:rsidRDefault="007409AB" w:rsidP="007409AB">
      <w:pPr>
        <w:pStyle w:val="NormalWeb"/>
        <w:numPr>
          <w:ilvl w:val="0"/>
          <w:numId w:val="15"/>
        </w:numPr>
        <w:spacing w:before="100" w:beforeAutospacing="1" w:after="100" w:afterAutospacing="1" w:line="240" w:lineRule="auto"/>
        <w:rPr>
          <w:b/>
          <w:bCs/>
          <w:sz w:val="22"/>
          <w:szCs w:val="22"/>
        </w:rPr>
      </w:pPr>
      <w:r w:rsidRPr="00092BD3">
        <w:rPr>
          <w:b/>
          <w:bCs/>
          <w:sz w:val="22"/>
          <w:szCs w:val="22"/>
        </w:rPr>
        <w:t>Promoting renewable energy sources and improving energy efficiency;</w:t>
      </w:r>
    </w:p>
    <w:p w14:paraId="0949C720" w14:textId="77777777" w:rsidR="007409AB" w:rsidRPr="00092BD3" w:rsidRDefault="007409AB" w:rsidP="007409AB">
      <w:pPr>
        <w:pStyle w:val="NormalWeb"/>
        <w:numPr>
          <w:ilvl w:val="0"/>
          <w:numId w:val="15"/>
        </w:numPr>
        <w:spacing w:before="100" w:beforeAutospacing="1" w:after="100" w:afterAutospacing="1" w:line="240" w:lineRule="auto"/>
        <w:rPr>
          <w:b/>
          <w:bCs/>
          <w:sz w:val="22"/>
          <w:szCs w:val="22"/>
        </w:rPr>
      </w:pPr>
      <w:r w:rsidRPr="00092BD3">
        <w:rPr>
          <w:b/>
          <w:bCs/>
          <w:sz w:val="22"/>
          <w:szCs w:val="22"/>
        </w:rPr>
        <w:t>Facilitating the exchange of technologies in energy security and waste management;</w:t>
      </w:r>
    </w:p>
    <w:p w14:paraId="6E68DEEE" w14:textId="77777777" w:rsidR="007409AB" w:rsidRPr="00092BD3" w:rsidRDefault="007409AB" w:rsidP="007409AB">
      <w:pPr>
        <w:pStyle w:val="NormalWeb"/>
        <w:numPr>
          <w:ilvl w:val="0"/>
          <w:numId w:val="15"/>
        </w:numPr>
        <w:spacing w:before="100" w:beforeAutospacing="1" w:after="100" w:afterAutospacing="1" w:line="240" w:lineRule="auto"/>
        <w:rPr>
          <w:b/>
          <w:bCs/>
          <w:sz w:val="22"/>
          <w:szCs w:val="22"/>
        </w:rPr>
      </w:pPr>
      <w:r w:rsidRPr="00092BD3">
        <w:rPr>
          <w:b/>
          <w:bCs/>
          <w:sz w:val="22"/>
          <w:szCs w:val="22"/>
        </w:rPr>
        <w:t xml:space="preserve">Ensuring the safe decommissioning of the </w:t>
      </w:r>
      <w:proofErr w:type="spellStart"/>
      <w:r w:rsidRPr="00092BD3">
        <w:rPr>
          <w:b/>
          <w:bCs/>
          <w:sz w:val="22"/>
          <w:szCs w:val="22"/>
        </w:rPr>
        <w:t>Metsamor</w:t>
      </w:r>
      <w:proofErr w:type="spellEnd"/>
      <w:r w:rsidRPr="00092BD3">
        <w:rPr>
          <w:b/>
          <w:bCs/>
          <w:sz w:val="22"/>
          <w:szCs w:val="22"/>
        </w:rPr>
        <w:t xml:space="preserve"> Nuclear Power Plant and planning for the establishment of new replacement infrastructure.</w:t>
      </w:r>
    </w:p>
    <w:p w14:paraId="483D352A" w14:textId="77777777" w:rsidR="007409AB" w:rsidRPr="00092BD3" w:rsidRDefault="007409AB" w:rsidP="007409AB">
      <w:pPr>
        <w:pStyle w:val="NormalWeb"/>
        <w:jc w:val="both"/>
        <w:rPr>
          <w:sz w:val="22"/>
          <w:szCs w:val="22"/>
        </w:rPr>
      </w:pPr>
      <w:r w:rsidRPr="00092BD3">
        <w:rPr>
          <w:sz w:val="22"/>
          <w:szCs w:val="22"/>
        </w:rPr>
        <w:t>Within the framework of the above-</w:t>
      </w:r>
      <w:proofErr w:type="spellStart"/>
      <w:r w:rsidRPr="00092BD3">
        <w:rPr>
          <w:sz w:val="22"/>
          <w:szCs w:val="22"/>
        </w:rPr>
        <w:t>mentioend</w:t>
      </w:r>
      <w:proofErr w:type="spellEnd"/>
      <w:r w:rsidRPr="00092BD3">
        <w:rPr>
          <w:sz w:val="22"/>
          <w:szCs w:val="22"/>
        </w:rPr>
        <w:t xml:space="preserve"> commitments, the Government of Armenia has undertaken a number of reforms since 2018, the most notable being the development of competitive energy markets. In line with that provision, efforts were made to liberalize and de-monopolize the electricity distribution market. As a result of reforms initiated in 2018, Armenia’s electricity market was liberalized on February 1, 2022. This enables organizations other than the Electric Networks of Armenia (ENA), holding a supplier or wholesale trader license, to act as intermediaries between producers and </w:t>
      </w:r>
      <w:r w:rsidRPr="00092BD3">
        <w:rPr>
          <w:sz w:val="22"/>
          <w:szCs w:val="22"/>
        </w:rPr>
        <w:lastRenderedPageBreak/>
        <w:t>consumers. This means that licensed suppliers can now purchase electricity from generating stations and sell it directly to consumers, effectively ending ENA’s monopoly as a supplier and enabling the establishment of market-regulated, balanced electricity prices.</w:t>
      </w:r>
    </w:p>
    <w:p w14:paraId="6F2D6AE4" w14:textId="77777777" w:rsidR="007409AB" w:rsidRPr="00092BD3" w:rsidRDefault="007409AB" w:rsidP="007409AB">
      <w:pPr>
        <w:pStyle w:val="NormalWeb"/>
        <w:jc w:val="both"/>
        <w:rPr>
          <w:sz w:val="22"/>
          <w:szCs w:val="22"/>
        </w:rPr>
      </w:pPr>
      <w:r w:rsidRPr="00092BD3">
        <w:rPr>
          <w:sz w:val="22"/>
          <w:szCs w:val="22"/>
        </w:rPr>
        <w:t>Another major reform relates to the development of solar energy, particularly through state-supported household solar panel installations. Under this initiative, distribution networks purchase the annual surplus of solar energy generated by households. Additionally, the government subsidizes 10% of the 10–15% interest rates on loans taken by citizens to install solar panels. Approximately 30,000 households have benefited from this program. The resulting increase in the solar energy share in Armenia’s energy mix has enhanced the country’s energy independence and security, while also addressing social issues for a broad segment of the population. However, the subsidy is set to end on July 1, 2025, which will be a blow to the growth in this sector. We believe it appropriate for the Government to extend this program.</w:t>
      </w:r>
    </w:p>
    <w:p w14:paraId="3C6A967A" w14:textId="77777777" w:rsidR="007409AB" w:rsidRPr="00092BD3" w:rsidRDefault="007409AB" w:rsidP="007409AB">
      <w:pPr>
        <w:pStyle w:val="NormalWeb"/>
        <w:rPr>
          <w:sz w:val="22"/>
          <w:szCs w:val="22"/>
        </w:rPr>
      </w:pPr>
      <w:r w:rsidRPr="00092BD3">
        <w:rPr>
          <w:sz w:val="22"/>
          <w:szCs w:val="22"/>
        </w:rPr>
        <w:t>In general, the primary barrier to further solar energy development lies in the instability of daytime solar generation. The increase in solar production has led to significant daytime energy surpluses, which the current infrastructure is unable to store or export. No demand-side incentives are in place to manage this surplus. Consequently, to balance grid fluctuations, other power plants — including nuclear facilities — must be disconnected, substantially increasing the cost per kilowatt. It should be noted that such issues are not unique to Armenia and are common in countries with advanced renewable energy sectors. Proven solutions include:</w:t>
      </w:r>
    </w:p>
    <w:p w14:paraId="601BA4A7" w14:textId="77777777" w:rsidR="007409AB" w:rsidRPr="00092BD3" w:rsidRDefault="007409AB" w:rsidP="007409AB">
      <w:pPr>
        <w:pStyle w:val="NormalWeb"/>
        <w:numPr>
          <w:ilvl w:val="0"/>
          <w:numId w:val="14"/>
        </w:numPr>
        <w:spacing w:before="100" w:beforeAutospacing="1" w:after="100" w:afterAutospacing="1" w:line="240" w:lineRule="auto"/>
        <w:rPr>
          <w:sz w:val="22"/>
          <w:szCs w:val="22"/>
        </w:rPr>
      </w:pPr>
      <w:r w:rsidRPr="00092BD3">
        <w:rPr>
          <w:sz w:val="22"/>
          <w:szCs w:val="22"/>
        </w:rPr>
        <w:t>Introduction of demand management toolkits to stimulate energy consumption during surplus hours and reduce it during peak demand, using pricing and other tools — without raising the average tariff level and while continuously ensuring the protection of vulnerable groups;</w:t>
      </w:r>
    </w:p>
    <w:p w14:paraId="1F888ECF" w14:textId="77777777" w:rsidR="007409AB" w:rsidRPr="00092BD3" w:rsidRDefault="007409AB" w:rsidP="007409AB">
      <w:pPr>
        <w:pStyle w:val="NormalWeb"/>
        <w:numPr>
          <w:ilvl w:val="0"/>
          <w:numId w:val="14"/>
        </w:numPr>
        <w:spacing w:before="100" w:beforeAutospacing="1" w:after="100" w:afterAutospacing="1" w:line="240" w:lineRule="auto"/>
        <w:rPr>
          <w:sz w:val="22"/>
          <w:szCs w:val="22"/>
        </w:rPr>
      </w:pPr>
      <w:r w:rsidRPr="00092BD3">
        <w:rPr>
          <w:sz w:val="22"/>
          <w:szCs w:val="22"/>
        </w:rPr>
        <w:t>Promotion of storage systems for both residential and commercial use;</w:t>
      </w:r>
    </w:p>
    <w:p w14:paraId="54DB6381" w14:textId="77777777" w:rsidR="007409AB" w:rsidRPr="00092BD3" w:rsidRDefault="007409AB" w:rsidP="007409AB">
      <w:pPr>
        <w:pStyle w:val="NormalWeb"/>
        <w:numPr>
          <w:ilvl w:val="0"/>
          <w:numId w:val="14"/>
        </w:numPr>
        <w:spacing w:before="100" w:beforeAutospacing="1" w:after="100" w:afterAutospacing="1" w:line="240" w:lineRule="auto"/>
        <w:rPr>
          <w:sz w:val="22"/>
          <w:szCs w:val="22"/>
        </w:rPr>
      </w:pPr>
      <w:r w:rsidRPr="00092BD3">
        <w:rPr>
          <w:sz w:val="22"/>
          <w:szCs w:val="22"/>
        </w:rPr>
        <w:t>Support for emerging energy technologies, such as heat pumps and electric vehicles, etc.</w:t>
      </w:r>
    </w:p>
    <w:p w14:paraId="7F853090" w14:textId="77777777" w:rsidR="007409AB" w:rsidRPr="00092BD3" w:rsidRDefault="007409AB" w:rsidP="007409AB">
      <w:pPr>
        <w:pStyle w:val="NormalWeb"/>
        <w:jc w:val="both"/>
        <w:rPr>
          <w:sz w:val="22"/>
          <w:szCs w:val="22"/>
        </w:rPr>
      </w:pPr>
      <w:r w:rsidRPr="00092BD3">
        <w:rPr>
          <w:sz w:val="22"/>
          <w:szCs w:val="22"/>
        </w:rPr>
        <w:t>The installation of energy storage systems only can enable entire settlements to transition to autonomous energy supply systems which is of major strategic importance especially for border settlements.</w:t>
      </w:r>
    </w:p>
    <w:p w14:paraId="33A50950" w14:textId="77777777" w:rsidR="007409AB" w:rsidRPr="00092BD3" w:rsidRDefault="007409AB" w:rsidP="007409AB">
      <w:pPr>
        <w:jc w:val="both"/>
        <w:rPr>
          <w:rFonts w:ascii="Times New Roman" w:eastAsia="Times New Roman" w:hAnsi="Times New Roman" w:cs="Times New Roman"/>
        </w:rPr>
      </w:pPr>
      <w:r w:rsidRPr="00092BD3">
        <w:rPr>
          <w:rFonts w:ascii="Times New Roman" w:eastAsia="Times New Roman" w:hAnsi="Times New Roman" w:cs="Times New Roman"/>
        </w:rPr>
        <w:t>In Armenia, when formulating policies to solve energy problems, the authorities often ignore or even refuse to listen to the proposals, made by solar energy companies. It is noteworthy that the representatives of these companies were not invited to participate in the NA hearings dedicated to solving problems related to the ENA.</w:t>
      </w:r>
    </w:p>
    <w:p w14:paraId="5D63056C" w14:textId="77777777" w:rsidR="007409AB" w:rsidRPr="00092BD3" w:rsidRDefault="007409AB" w:rsidP="007409AB">
      <w:pPr>
        <w:pStyle w:val="NormalWeb"/>
        <w:jc w:val="both"/>
        <w:rPr>
          <w:sz w:val="22"/>
          <w:szCs w:val="22"/>
        </w:rPr>
      </w:pPr>
      <w:r w:rsidRPr="00092BD3">
        <w:rPr>
          <w:sz w:val="22"/>
          <w:szCs w:val="22"/>
        </w:rPr>
        <w:t>Other important issues include corruption and patronage within ENA, as reported by energy producers in informal settings. Thus, ENA’s leadership does not ensure fair competition and grants licenses to companies affiliated with it (its leadership). Furthermore, in the past ENA negotiated with the Government of Armenia to secure an 8% net profit margin on electricity generation. In conditions of inflated costs, the state's guarantee of this profitability is a heavy burden for consumers.</w:t>
      </w:r>
    </w:p>
    <w:p w14:paraId="3AD3E563" w14:textId="77777777" w:rsidR="007409AB" w:rsidRPr="00092BD3" w:rsidRDefault="007409AB" w:rsidP="007409AB">
      <w:pPr>
        <w:pStyle w:val="NormalWeb"/>
        <w:jc w:val="both"/>
        <w:rPr>
          <w:sz w:val="22"/>
          <w:szCs w:val="22"/>
        </w:rPr>
      </w:pPr>
      <w:r w:rsidRPr="00092BD3">
        <w:rPr>
          <w:sz w:val="22"/>
          <w:szCs w:val="22"/>
        </w:rPr>
        <w:t>According to official data, Armenia's energy efficiency is approximately 2.7 times lower than the EU average and 1.7 times lower than the average for Eastern European countries. Moreover, Armenia remains highly dependent on imported fossil fuels — a dependency that has deepened over the past decade. Between 2009 and 2019, the share of fossil fuels (petroleum products and natural gas) in the primary energy supply structure increased by 1.6 percent, reaching 70.6 percent in 2019. During the period under review, two main trends are observed in the structural changes of primary energy supply and imported fossil fuels: an increase in the share of natural gas and a decrease in the share of petroleum products. Natural gas maintained and strengthened its dominant position, accounting for 60 percent or more throughout the period. In fact, over 95 percent of the growth in primary energy supply during this period was due to natural gas, primarily driven by increased demand from light passenger transport and households.</w:t>
      </w:r>
    </w:p>
    <w:p w14:paraId="6E13E90B" w14:textId="77777777" w:rsidR="007409AB" w:rsidRPr="00092BD3" w:rsidRDefault="007409AB" w:rsidP="007409AB">
      <w:pPr>
        <w:pStyle w:val="NormalWeb"/>
        <w:rPr>
          <w:sz w:val="22"/>
          <w:szCs w:val="22"/>
        </w:rPr>
      </w:pPr>
      <w:r w:rsidRPr="00092BD3">
        <w:rPr>
          <w:sz w:val="22"/>
          <w:szCs w:val="22"/>
        </w:rPr>
        <w:lastRenderedPageBreak/>
        <w:t>Reducing dependence on imported fossil fuels is a priority for Armenia, with the primary strategy being the steady development of renewable energy. Over the past decade, the share of renewables in the country’s primary energy supply has fluctuated between 11 and 12 percent. In 2019, renewable energy accounted for 11.7 percent (excluding biofuel, this figure stood at 5.7 percent).</w:t>
      </w:r>
    </w:p>
    <w:p w14:paraId="0CE04249" w14:textId="77777777" w:rsidR="007409AB" w:rsidRPr="00092BD3" w:rsidRDefault="007409AB" w:rsidP="007409AB">
      <w:pPr>
        <w:pStyle w:val="NormalWeb"/>
        <w:jc w:val="both"/>
        <w:rPr>
          <w:sz w:val="22"/>
          <w:szCs w:val="22"/>
        </w:rPr>
      </w:pPr>
      <w:r w:rsidRPr="00092BD3">
        <w:rPr>
          <w:sz w:val="22"/>
          <w:szCs w:val="22"/>
        </w:rPr>
        <w:t>To fully replace natural gas with solar energy—assuming domestic demand remains constant—Armenia would need to build 700 MW of renewable energy capacity (excluding hydropower). As of the first half of 2021, approximately 150 MW of such capacity was already operational.</w:t>
      </w:r>
      <w:r w:rsidRPr="00092BD3">
        <w:rPr>
          <w:rStyle w:val="FootnoteReference"/>
          <w:color w:val="000000"/>
          <w:sz w:val="22"/>
          <w:szCs w:val="22"/>
          <w:shd w:val="clear" w:color="auto" w:fill="FFFFFF"/>
          <w:lang w:val="hy-AM"/>
        </w:rPr>
        <w:footnoteReference w:id="1"/>
      </w:r>
      <w:r w:rsidRPr="00092BD3">
        <w:rPr>
          <w:sz w:val="22"/>
          <w:szCs w:val="22"/>
          <w:lang w:val="hy-AM"/>
        </w:rPr>
        <w:t xml:space="preserve"> </w:t>
      </w:r>
    </w:p>
    <w:p w14:paraId="125BA498" w14:textId="77777777" w:rsidR="007409AB" w:rsidRPr="00092BD3" w:rsidRDefault="007409AB" w:rsidP="007409AB">
      <w:pPr>
        <w:pStyle w:val="NormalWeb"/>
        <w:jc w:val="both"/>
        <w:rPr>
          <w:color w:val="000000"/>
          <w:sz w:val="22"/>
          <w:szCs w:val="22"/>
          <w:shd w:val="clear" w:color="auto" w:fill="FFFFFF"/>
          <w:lang w:val="hy-AM"/>
        </w:rPr>
      </w:pPr>
      <w:r w:rsidRPr="00092BD3">
        <w:rPr>
          <w:sz w:val="22"/>
          <w:szCs w:val="22"/>
        </w:rPr>
        <w:t>An important step in this direction was the approval of the “MASDARARMENIA PROJECT” investment program by RA Government’s Decree No. 1922-L of December 26, 2019,</w:t>
      </w:r>
      <w:r w:rsidRPr="00092BD3">
        <w:rPr>
          <w:rStyle w:val="FootnoteReference"/>
          <w:color w:val="1C6CA1"/>
          <w:sz w:val="22"/>
          <w:szCs w:val="22"/>
          <w:u w:val="single"/>
          <w:shd w:val="clear" w:color="auto" w:fill="FFFFFF"/>
          <w:lang w:val="hy-AM"/>
        </w:rPr>
        <w:footnoteReference w:id="2"/>
      </w:r>
      <w:r w:rsidRPr="00092BD3">
        <w:rPr>
          <w:sz w:val="22"/>
          <w:szCs w:val="22"/>
        </w:rPr>
        <w:t xml:space="preserve"> which envisaged the construction of two 200 MW photovoltaic plants in the </w:t>
      </w:r>
      <w:proofErr w:type="spellStart"/>
      <w:r w:rsidRPr="00092BD3">
        <w:rPr>
          <w:sz w:val="22"/>
          <w:szCs w:val="22"/>
        </w:rPr>
        <w:t>Talin</w:t>
      </w:r>
      <w:proofErr w:type="spellEnd"/>
      <w:r w:rsidRPr="00092BD3">
        <w:rPr>
          <w:sz w:val="22"/>
          <w:szCs w:val="22"/>
        </w:rPr>
        <w:t xml:space="preserve"> sub-region of the Aragatsotn region: “Ayg-1” and “Ayg-2”.</w:t>
      </w:r>
      <w:r w:rsidRPr="00092BD3">
        <w:rPr>
          <w:rStyle w:val="FootnoteReference"/>
          <w:color w:val="000000"/>
          <w:sz w:val="22"/>
          <w:szCs w:val="22"/>
          <w:shd w:val="clear" w:color="auto" w:fill="FFFFFF"/>
          <w:lang w:val="hy-AM"/>
        </w:rPr>
        <w:footnoteReference w:id="3"/>
      </w:r>
      <w:r w:rsidRPr="00092BD3">
        <w:rPr>
          <w:color w:val="000000"/>
          <w:sz w:val="22"/>
          <w:szCs w:val="22"/>
          <w:shd w:val="clear" w:color="auto" w:fill="FFFFFF"/>
          <w:lang w:val="hy-AM"/>
        </w:rPr>
        <w:t xml:space="preserve"> </w:t>
      </w:r>
      <w:r w:rsidRPr="00092BD3">
        <w:rPr>
          <w:sz w:val="22"/>
          <w:szCs w:val="22"/>
        </w:rPr>
        <w:t xml:space="preserve">Financial institutions interested in its financing—including the European Bank for Reconstruction and Development (EBRD), the German DEG, the French PROPARCO development agencies, and the UAE-based </w:t>
      </w:r>
      <w:proofErr w:type="spellStart"/>
      <w:r w:rsidRPr="00092BD3">
        <w:rPr>
          <w:sz w:val="22"/>
          <w:szCs w:val="22"/>
        </w:rPr>
        <w:t>Masdar</w:t>
      </w:r>
      <w:proofErr w:type="spellEnd"/>
      <w:r w:rsidRPr="00092BD3">
        <w:rPr>
          <w:sz w:val="22"/>
          <w:szCs w:val="22"/>
        </w:rPr>
        <w:t xml:space="preserve"> Company—were prepared to invest 200 million USD. The tariff for the produced electricity was set at 0.0290 USD or 11.23 AMD per kilowatt-hour (kWh).</w:t>
      </w:r>
      <w:r w:rsidRPr="00092BD3">
        <w:rPr>
          <w:sz w:val="22"/>
          <w:szCs w:val="22"/>
          <w:vertAlign w:val="superscript"/>
        </w:rPr>
        <w:footnoteReference w:id="4"/>
      </w:r>
    </w:p>
    <w:p w14:paraId="60C605ED" w14:textId="77777777" w:rsidR="007409AB" w:rsidRPr="00092BD3" w:rsidRDefault="007409AB" w:rsidP="007409AB">
      <w:pPr>
        <w:pStyle w:val="NormalWeb"/>
        <w:jc w:val="both"/>
        <w:rPr>
          <w:sz w:val="22"/>
          <w:szCs w:val="22"/>
        </w:rPr>
      </w:pPr>
      <w:r w:rsidRPr="00092BD3">
        <w:rPr>
          <w:sz w:val="22"/>
          <w:szCs w:val="22"/>
        </w:rPr>
        <w:t xml:space="preserve">The ownership structure of the plants would be as follows: </w:t>
      </w:r>
      <w:proofErr w:type="spellStart"/>
      <w:r w:rsidRPr="00092BD3">
        <w:rPr>
          <w:sz w:val="22"/>
          <w:szCs w:val="22"/>
        </w:rPr>
        <w:t>Masdar</w:t>
      </w:r>
      <w:proofErr w:type="spellEnd"/>
      <w:r w:rsidRPr="00092BD3">
        <w:rPr>
          <w:sz w:val="22"/>
          <w:szCs w:val="22"/>
        </w:rPr>
        <w:t xml:space="preserve"> Clean Energy Company – 75%, Armenian National Interests Fund (ANIF) – 15%, with the owner of the remaining 10% share currently unknown.</w:t>
      </w:r>
      <w:r w:rsidRPr="00092BD3">
        <w:rPr>
          <w:rStyle w:val="FootnoteReference"/>
          <w:color w:val="000000"/>
          <w:sz w:val="22"/>
          <w:szCs w:val="22"/>
          <w:shd w:val="clear" w:color="auto" w:fill="FFFFFF"/>
          <w:lang w:val="hy-AM"/>
        </w:rPr>
        <w:footnoteReference w:id="5"/>
      </w:r>
    </w:p>
    <w:p w14:paraId="27DE4378" w14:textId="77777777" w:rsidR="007409AB" w:rsidRPr="00092BD3" w:rsidRDefault="007409AB" w:rsidP="007409AB">
      <w:pPr>
        <w:pStyle w:val="NormalWeb"/>
        <w:jc w:val="both"/>
        <w:rPr>
          <w:sz w:val="22"/>
          <w:szCs w:val="22"/>
        </w:rPr>
      </w:pPr>
      <w:r w:rsidRPr="00092BD3">
        <w:rPr>
          <w:sz w:val="22"/>
          <w:szCs w:val="22"/>
        </w:rPr>
        <w:t>The Ministry of Environment of the Republic of Armenia issued a positive conclusion on the EIA report for the construction of Ayg-1 back in 2023. It was planned that the plant would be built within two years and commissioned in 2025. However, for unknown reasons, construction has not been launched yet.</w:t>
      </w:r>
    </w:p>
    <w:p w14:paraId="14CF1B6D" w14:textId="77777777" w:rsidR="007409AB" w:rsidRPr="00092BD3" w:rsidRDefault="007409AB" w:rsidP="007409AB">
      <w:pPr>
        <w:pStyle w:val="NormalWeb"/>
        <w:jc w:val="both"/>
        <w:rPr>
          <w:sz w:val="22"/>
          <w:szCs w:val="22"/>
        </w:rPr>
      </w:pPr>
      <w:r w:rsidRPr="00092BD3">
        <w:rPr>
          <w:sz w:val="22"/>
          <w:szCs w:val="22"/>
        </w:rPr>
        <w:t xml:space="preserve">As for another branch of renewable energy, wind power, maps of Armenia's wind energy resources were developed in 2003. According to these assessments, the total capacity of economically viable wind power plants is estimated at about 450 MW, with an annual electricity generation potential of 1.26 billion kWh. The main promising sites were identified as </w:t>
      </w:r>
      <w:proofErr w:type="spellStart"/>
      <w:r w:rsidRPr="00092BD3">
        <w:rPr>
          <w:sz w:val="22"/>
          <w:szCs w:val="22"/>
        </w:rPr>
        <w:t>Zod</w:t>
      </w:r>
      <w:proofErr w:type="spellEnd"/>
      <w:r w:rsidRPr="00092BD3">
        <w:rPr>
          <w:sz w:val="22"/>
          <w:szCs w:val="22"/>
        </w:rPr>
        <w:t xml:space="preserve"> Pass, </w:t>
      </w:r>
      <w:proofErr w:type="spellStart"/>
      <w:r w:rsidRPr="00092BD3">
        <w:rPr>
          <w:sz w:val="22"/>
          <w:szCs w:val="22"/>
        </w:rPr>
        <w:t>Bazum</w:t>
      </w:r>
      <w:proofErr w:type="spellEnd"/>
      <w:r w:rsidRPr="00092BD3">
        <w:rPr>
          <w:sz w:val="22"/>
          <w:szCs w:val="22"/>
        </w:rPr>
        <w:t xml:space="preserve"> Mountains (</w:t>
      </w:r>
      <w:proofErr w:type="spellStart"/>
      <w:r w:rsidRPr="00092BD3">
        <w:rPr>
          <w:sz w:val="22"/>
          <w:szCs w:val="22"/>
        </w:rPr>
        <w:t>Karakhach</w:t>
      </w:r>
      <w:proofErr w:type="spellEnd"/>
      <w:r w:rsidRPr="00092BD3">
        <w:rPr>
          <w:sz w:val="22"/>
          <w:szCs w:val="22"/>
        </w:rPr>
        <w:t xml:space="preserve"> and Pushkin Passes), </w:t>
      </w:r>
      <w:proofErr w:type="spellStart"/>
      <w:r w:rsidRPr="00092BD3">
        <w:rPr>
          <w:sz w:val="22"/>
          <w:szCs w:val="22"/>
        </w:rPr>
        <w:t>Jajur</w:t>
      </w:r>
      <w:proofErr w:type="spellEnd"/>
      <w:r w:rsidRPr="00092BD3">
        <w:rPr>
          <w:sz w:val="22"/>
          <w:szCs w:val="22"/>
        </w:rPr>
        <w:t xml:space="preserve"> Pass, </w:t>
      </w:r>
      <w:proofErr w:type="spellStart"/>
      <w:r w:rsidRPr="00092BD3">
        <w:rPr>
          <w:sz w:val="22"/>
          <w:szCs w:val="22"/>
        </w:rPr>
        <w:t>Geghama</w:t>
      </w:r>
      <w:proofErr w:type="spellEnd"/>
      <w:r w:rsidRPr="00092BD3">
        <w:rPr>
          <w:sz w:val="22"/>
          <w:szCs w:val="22"/>
        </w:rPr>
        <w:t xml:space="preserve"> Mountains Region, Sevan Pass, </w:t>
      </w:r>
      <w:proofErr w:type="spellStart"/>
      <w:r w:rsidRPr="00092BD3">
        <w:rPr>
          <w:sz w:val="22"/>
          <w:szCs w:val="22"/>
        </w:rPr>
        <w:t>Aparan</w:t>
      </w:r>
      <w:proofErr w:type="spellEnd"/>
      <w:r w:rsidRPr="00092BD3">
        <w:rPr>
          <w:sz w:val="22"/>
          <w:szCs w:val="22"/>
        </w:rPr>
        <w:t xml:space="preserve"> Region, the highland zone between </w:t>
      </w:r>
      <w:proofErr w:type="spellStart"/>
      <w:r w:rsidRPr="00092BD3">
        <w:rPr>
          <w:sz w:val="22"/>
          <w:szCs w:val="22"/>
        </w:rPr>
        <w:t>Sisian</w:t>
      </w:r>
      <w:proofErr w:type="spellEnd"/>
      <w:r w:rsidRPr="00092BD3">
        <w:rPr>
          <w:sz w:val="22"/>
          <w:szCs w:val="22"/>
        </w:rPr>
        <w:t xml:space="preserve"> and Goris, and the </w:t>
      </w:r>
      <w:proofErr w:type="spellStart"/>
      <w:r w:rsidRPr="00092BD3">
        <w:rPr>
          <w:sz w:val="22"/>
          <w:szCs w:val="22"/>
        </w:rPr>
        <w:t>Meghri</w:t>
      </w:r>
      <w:proofErr w:type="spellEnd"/>
      <w:r w:rsidRPr="00092BD3">
        <w:rPr>
          <w:sz w:val="22"/>
          <w:szCs w:val="22"/>
        </w:rPr>
        <w:t xml:space="preserve"> Region. However, as of July 1, 2019, only two wind power plants were generating electricity, with a total installed capacity of 2.9 MW. Two additional wind power plants, with a capacity of 5.3 MW, are still under construction. According to the Public Services Regulatory Commission's Decision No. 159-N of May 29, 2019, the tariff for electricity supplied from wind power plants from July 1, 2019, to July 1, 2020, was set at 43.585 AMD/kWh excluding VAT for plants licensed before November 1, 2018. For wind power plants with an installed capacity of up to 30 MW, licensed after November 1, 2018, the tariff was set at 24.233 AMD/kWh.</w:t>
      </w:r>
    </w:p>
    <w:p w14:paraId="685BED5A" w14:textId="77777777" w:rsidR="007409AB" w:rsidRPr="00092BD3" w:rsidRDefault="007409AB" w:rsidP="007409AB">
      <w:pPr>
        <w:pStyle w:val="NormalWeb"/>
        <w:jc w:val="both"/>
        <w:rPr>
          <w:sz w:val="22"/>
          <w:szCs w:val="22"/>
        </w:rPr>
      </w:pPr>
      <w:r w:rsidRPr="00092BD3">
        <w:rPr>
          <w:sz w:val="22"/>
          <w:szCs w:val="22"/>
        </w:rPr>
        <w:t>This tariff is set and adjusted by the Commission in accordance with the methodology adopted by its Decision No. 88-N of April 22, 2018. Under this methodology, the tariff for wind power plants is indexed annually, based on fluctuations in the exchange rate of the Armenian dram against the US dollar and changes in the consumer price index in Armenia, and applies for a specific period. For wind power plants with an installed capacity exceeding 30 MW, tariffs are determined within the framework of separate investment programs.</w:t>
      </w:r>
      <w:r w:rsidRPr="00092BD3">
        <w:rPr>
          <w:color w:val="000000"/>
          <w:sz w:val="22"/>
          <w:szCs w:val="22"/>
          <w:shd w:val="clear" w:color="auto" w:fill="FFFFFF"/>
          <w:vertAlign w:val="superscript"/>
        </w:rPr>
        <w:footnoteReference w:id="6"/>
      </w:r>
    </w:p>
    <w:p w14:paraId="29AD7DD9" w14:textId="77777777" w:rsidR="007409AB" w:rsidRPr="00092BD3" w:rsidRDefault="007409AB" w:rsidP="007409AB">
      <w:pPr>
        <w:pStyle w:val="NormalWeb"/>
        <w:jc w:val="both"/>
        <w:rPr>
          <w:sz w:val="22"/>
          <w:szCs w:val="22"/>
        </w:rPr>
      </w:pPr>
      <w:r w:rsidRPr="00092BD3">
        <w:rPr>
          <w:sz w:val="22"/>
          <w:szCs w:val="22"/>
        </w:rPr>
        <w:lastRenderedPageBreak/>
        <w:t>It is important to note that the development of renewable energy, in addition to macroeconomic support and promotion, often requires direct microeconomic intervention and support. For example, the energy potential of landfills remains unused to this day.</w:t>
      </w:r>
    </w:p>
    <w:p w14:paraId="7FC1B3BD" w14:textId="77777777" w:rsidR="007409AB" w:rsidRPr="00092BD3" w:rsidRDefault="007409AB" w:rsidP="007409AB">
      <w:pPr>
        <w:pStyle w:val="NormalWeb"/>
        <w:jc w:val="both"/>
        <w:rPr>
          <w:sz w:val="22"/>
          <w:szCs w:val="22"/>
        </w:rPr>
      </w:pPr>
      <w:r w:rsidRPr="00092BD3">
        <w:rPr>
          <w:sz w:val="22"/>
          <w:szCs w:val="22"/>
        </w:rPr>
        <w:t xml:space="preserve">In this context, the story of the closure of the biogas plant, which derived biogas from the manure of the </w:t>
      </w:r>
      <w:proofErr w:type="spellStart"/>
      <w:r w:rsidRPr="00092BD3">
        <w:rPr>
          <w:sz w:val="22"/>
          <w:szCs w:val="22"/>
        </w:rPr>
        <w:t>Lusakert</w:t>
      </w:r>
      <w:proofErr w:type="spellEnd"/>
      <w:r w:rsidRPr="00092BD3">
        <w:rPr>
          <w:sz w:val="22"/>
          <w:szCs w:val="22"/>
        </w:rPr>
        <w:t xml:space="preserve"> poultry factory is noteworthy. Approximately 250 tons of liquid poultry manure were processed there daily, resulting in biogas with a methane concentration of 60–70%. A gas engine and generator operated on this biogas. According to the European experts involved in the Kyoto Protocol, the </w:t>
      </w:r>
      <w:proofErr w:type="spellStart"/>
      <w:r w:rsidRPr="00092BD3">
        <w:rPr>
          <w:sz w:val="22"/>
          <w:szCs w:val="22"/>
        </w:rPr>
        <w:t>Lusakert</w:t>
      </w:r>
      <w:proofErr w:type="spellEnd"/>
      <w:r w:rsidRPr="00092BD3">
        <w:rPr>
          <w:sz w:val="22"/>
          <w:szCs w:val="22"/>
        </w:rPr>
        <w:t xml:space="preserve"> Biogas Plant or “</w:t>
      </w:r>
      <w:proofErr w:type="spellStart"/>
      <w:r w:rsidRPr="00092BD3">
        <w:rPr>
          <w:sz w:val="22"/>
          <w:szCs w:val="22"/>
        </w:rPr>
        <w:t>Lusakert</w:t>
      </w:r>
      <w:proofErr w:type="spellEnd"/>
      <w:r w:rsidRPr="00092BD3">
        <w:rPr>
          <w:sz w:val="22"/>
          <w:szCs w:val="22"/>
        </w:rPr>
        <w:t xml:space="preserve"> Biogas Plant” CJSC, was commissioned in 2008. One of its shareholders was the Norwegian </w:t>
      </w:r>
      <w:proofErr w:type="spellStart"/>
      <w:r w:rsidRPr="00092BD3">
        <w:rPr>
          <w:sz w:val="22"/>
          <w:szCs w:val="22"/>
        </w:rPr>
        <w:t>Vekst</w:t>
      </w:r>
      <w:proofErr w:type="spellEnd"/>
      <w:r w:rsidRPr="00092BD3">
        <w:rPr>
          <w:sz w:val="22"/>
          <w:szCs w:val="22"/>
        </w:rPr>
        <w:t xml:space="preserve"> Foundation. An initial investment of 5.2 million EUR was made (with plans to expand investments up to 10 million EUR), and the plant generated 7 million kilowatt-hours of electricity annually. As a matter of fact, the generated electricity was sold to the Armenian power grid at a rate of 35 AMD per kilowatt-hour.</w:t>
      </w:r>
      <w:r w:rsidRPr="00092BD3">
        <w:rPr>
          <w:sz w:val="22"/>
          <w:szCs w:val="22"/>
          <w:vertAlign w:val="superscript"/>
        </w:rPr>
        <w:footnoteReference w:id="7"/>
      </w:r>
      <w:r w:rsidRPr="00092BD3">
        <w:rPr>
          <w:sz w:val="22"/>
          <w:szCs w:val="22"/>
        </w:rPr>
        <w:t xml:space="preserve"> Simultaneously, the plant reduced greenhouse gas emissions by 27,000 tons of CO₂ annually. The plant has been inactive since 2013 due to financial difficulties. These financial problems arose when the government failed to grant the promised VAT exemptions (on imported equipment). Additionally, the discussions with the government back at the planning stage had focused on the possibility of introducing penalties for uncontrolled disposal of livestock breeding waste from large livestock farms and poultry factories. It was believed that imposing penalties for uncontrolled disposal could have incentivized investment in alternative energy in Armenia. However, these measures were not implemented, and the situation has not changed since.</w:t>
      </w:r>
    </w:p>
    <w:p w14:paraId="4519458F" w14:textId="77777777" w:rsidR="007409AB" w:rsidRPr="00092BD3" w:rsidRDefault="007409AB" w:rsidP="007409AB">
      <w:pPr>
        <w:pStyle w:val="NormalWeb"/>
        <w:jc w:val="both"/>
        <w:rPr>
          <w:sz w:val="22"/>
          <w:szCs w:val="22"/>
        </w:rPr>
      </w:pPr>
      <w:r w:rsidRPr="00092BD3">
        <w:rPr>
          <w:sz w:val="22"/>
          <w:szCs w:val="22"/>
        </w:rPr>
        <w:t xml:space="preserve">Following these developments, the plant’s Norwegian and Danish partners—specifically, the Norwegian </w:t>
      </w:r>
      <w:proofErr w:type="spellStart"/>
      <w:r w:rsidRPr="00092BD3">
        <w:rPr>
          <w:sz w:val="22"/>
          <w:szCs w:val="22"/>
        </w:rPr>
        <w:t>Vekst</w:t>
      </w:r>
      <w:proofErr w:type="spellEnd"/>
      <w:r w:rsidRPr="00092BD3">
        <w:rPr>
          <w:sz w:val="22"/>
          <w:szCs w:val="22"/>
        </w:rPr>
        <w:t xml:space="preserve"> Foundation, the Danish Development Fund (co-investors), and the Danish engineering company </w:t>
      </w:r>
      <w:proofErr w:type="spellStart"/>
      <w:r w:rsidRPr="00092BD3">
        <w:rPr>
          <w:sz w:val="22"/>
          <w:szCs w:val="22"/>
        </w:rPr>
        <w:t>Bigadan</w:t>
      </w:r>
      <w:proofErr w:type="spellEnd"/>
      <w:r w:rsidRPr="00092BD3">
        <w:rPr>
          <w:sz w:val="22"/>
          <w:szCs w:val="22"/>
        </w:rPr>
        <w:t xml:space="preserve">, which configured the technology—withdrew from the project. The Norwegians held a 16% stake, while the Danes each held 13%. In 2019, the </w:t>
      </w:r>
      <w:proofErr w:type="spellStart"/>
      <w:r w:rsidRPr="00092BD3">
        <w:rPr>
          <w:sz w:val="22"/>
          <w:szCs w:val="22"/>
        </w:rPr>
        <w:t>Manukyan</w:t>
      </w:r>
      <w:proofErr w:type="spellEnd"/>
      <w:r w:rsidRPr="00092BD3">
        <w:rPr>
          <w:sz w:val="22"/>
          <w:szCs w:val="22"/>
        </w:rPr>
        <w:t xml:space="preserve"> family attempted to revive the plant by cleaning the tanks and re-engaging with authorities on the tax issues related to the imported equipment. However, negotiations with the government failed again.</w:t>
      </w:r>
      <w:r w:rsidRPr="00092BD3">
        <w:rPr>
          <w:rStyle w:val="FootnoteReference"/>
          <w:color w:val="000000"/>
          <w:sz w:val="22"/>
          <w:szCs w:val="22"/>
          <w:shd w:val="clear" w:color="auto" w:fill="FFFFFF"/>
          <w:lang w:val="hy-AM"/>
        </w:rPr>
        <w:footnoteReference w:id="8"/>
      </w:r>
      <w:r w:rsidRPr="00092BD3">
        <w:rPr>
          <w:sz w:val="22"/>
          <w:szCs w:val="22"/>
        </w:rPr>
        <w:t xml:space="preserve"> </w:t>
      </w:r>
    </w:p>
    <w:p w14:paraId="758E4800" w14:textId="77777777" w:rsidR="007409AB" w:rsidRPr="00092BD3" w:rsidRDefault="007409AB" w:rsidP="007409AB">
      <w:pPr>
        <w:pStyle w:val="NormalWeb"/>
        <w:jc w:val="both"/>
        <w:rPr>
          <w:sz w:val="22"/>
          <w:szCs w:val="22"/>
        </w:rPr>
      </w:pPr>
      <w:r w:rsidRPr="00092BD3">
        <w:rPr>
          <w:sz w:val="22"/>
          <w:szCs w:val="22"/>
        </w:rPr>
        <w:t>Subsequently, in October 2023, the Public Services Regulatory Commission of the Republic of Armenia made the decision to revoke the plant’s license. The biomass used at the biogas facility was processed into organic fertilizer, which is highly beneficial for agricultural use. To promote biomass processing as a profitable business, using models such as “biomass–biogas–organic fertilizer” or “biomass – biogas – electricity and thermal energy – fertilizer,” legislative regulation is essential. This regulation should boil down to setting a requirement for producers to pay waste collection and processing entities based on the weight of the waste, in alignment with European practices.</w:t>
      </w:r>
      <w:r w:rsidRPr="00092BD3">
        <w:rPr>
          <w:rStyle w:val="FootnoteReference"/>
          <w:color w:val="000000"/>
          <w:sz w:val="22"/>
          <w:szCs w:val="22"/>
          <w:shd w:val="clear" w:color="auto" w:fill="FFFFFF"/>
          <w:lang w:val="hy-AM"/>
        </w:rPr>
        <w:footnoteReference w:id="9"/>
      </w:r>
      <w:r w:rsidRPr="00092BD3">
        <w:rPr>
          <w:color w:val="000000"/>
          <w:sz w:val="22"/>
          <w:szCs w:val="22"/>
          <w:shd w:val="clear" w:color="auto" w:fill="FFFFFF"/>
          <w:lang w:val="hy-AM"/>
        </w:rPr>
        <w:t xml:space="preserve"> </w:t>
      </w:r>
    </w:p>
    <w:p w14:paraId="6E6D2C05" w14:textId="77777777" w:rsidR="007409AB" w:rsidRPr="00092BD3" w:rsidRDefault="007409AB" w:rsidP="007409AB">
      <w:pPr>
        <w:pStyle w:val="NormalWeb"/>
        <w:jc w:val="both"/>
        <w:rPr>
          <w:sz w:val="22"/>
          <w:szCs w:val="22"/>
        </w:rPr>
      </w:pPr>
      <w:r w:rsidRPr="00092BD3">
        <w:rPr>
          <w:sz w:val="22"/>
          <w:szCs w:val="22"/>
        </w:rPr>
        <w:t>One of the obstacles to the development of the biogas energy sector in Armenia is the absence of a functioning carbon credit system. Such a system allows enterprises that reduce greenhouse gas emissions to earn credits for each ton of emissions reduced. These credits can then be sold to entities exceeding emission limits.</w:t>
      </w:r>
    </w:p>
    <w:p w14:paraId="6D3EBE1D" w14:textId="77777777" w:rsidR="007409AB" w:rsidRPr="00092BD3" w:rsidRDefault="007409AB" w:rsidP="007409AB">
      <w:pPr>
        <w:pStyle w:val="NormalWeb"/>
        <w:jc w:val="both"/>
        <w:rPr>
          <w:sz w:val="22"/>
          <w:szCs w:val="22"/>
        </w:rPr>
      </w:pPr>
      <w:r w:rsidRPr="00092BD3">
        <w:rPr>
          <w:sz w:val="22"/>
          <w:szCs w:val="22"/>
        </w:rPr>
        <w:t xml:space="preserve">In addition to altering the structure of energy consumption, the Armenian government is also taking steps to diversify energy sources within the existing framework. Thus, in 2022, a charter for strategic cooperation in the nuclear energy sector was signed with the United States, initiating negotiations for the construction of a 300 or 600 MW modular nuclear power plant of American design in Armenia. The new facility is expected to be commissioned by 2035, aligning with the decommissioning timeline of the </w:t>
      </w:r>
      <w:proofErr w:type="spellStart"/>
      <w:r w:rsidRPr="00092BD3">
        <w:rPr>
          <w:sz w:val="22"/>
          <w:szCs w:val="22"/>
        </w:rPr>
        <w:t>Metsamor</w:t>
      </w:r>
      <w:proofErr w:type="spellEnd"/>
      <w:r w:rsidRPr="00092BD3">
        <w:rPr>
          <w:sz w:val="22"/>
          <w:szCs w:val="22"/>
        </w:rPr>
        <w:t xml:space="preserve"> Nuclear Power Plant.</w:t>
      </w:r>
    </w:p>
    <w:p w14:paraId="1B1059F2" w14:textId="77777777" w:rsidR="007409AB" w:rsidRPr="00092BD3" w:rsidRDefault="007409AB" w:rsidP="007409AB">
      <w:pPr>
        <w:pStyle w:val="NormalWeb"/>
        <w:rPr>
          <w:sz w:val="22"/>
          <w:szCs w:val="22"/>
        </w:rPr>
      </w:pPr>
      <w:r w:rsidRPr="00092BD3">
        <w:rPr>
          <w:sz w:val="22"/>
          <w:szCs w:val="22"/>
        </w:rPr>
        <w:lastRenderedPageBreak/>
        <w:t>Simultaneously, negotiations are underway to arrange gas imports from Turkmenistan to Armenia via Iran’s gas infrastructure. This initiative could significantly reduce Armenia’s dependence on Russian gas supplies.</w:t>
      </w:r>
    </w:p>
    <w:p w14:paraId="5D5752AF" w14:textId="77777777" w:rsidR="007409AB" w:rsidRPr="00092BD3" w:rsidRDefault="007409AB" w:rsidP="007409AB">
      <w:pPr>
        <w:pStyle w:val="NormalWeb"/>
        <w:rPr>
          <w:sz w:val="22"/>
          <w:szCs w:val="22"/>
        </w:rPr>
      </w:pPr>
      <w:r w:rsidRPr="00092BD3">
        <w:rPr>
          <w:sz w:val="22"/>
          <w:szCs w:val="22"/>
        </w:rPr>
        <w:t>Another key direction for enhancing energy security and reducing external energy dependence is improving energy efficiency. Expert assessments suggest that energy efficiency measures could lower energy consumption by households, government and community institutions, and industrial enterprises in Armenia by approximately 30 percent.</w:t>
      </w:r>
    </w:p>
    <w:p w14:paraId="7A0BDF22" w14:textId="77777777" w:rsidR="007409AB" w:rsidRPr="00092BD3" w:rsidRDefault="007409AB" w:rsidP="007409AB">
      <w:pPr>
        <w:spacing w:before="100" w:beforeAutospacing="1" w:after="100" w:afterAutospacing="1" w:line="240" w:lineRule="auto"/>
        <w:jc w:val="both"/>
        <w:rPr>
          <w:rFonts w:ascii="Times New Roman" w:eastAsia="Times New Roman" w:hAnsi="Times New Roman" w:cs="Times New Roman"/>
        </w:rPr>
      </w:pPr>
      <w:r w:rsidRPr="00092BD3">
        <w:rPr>
          <w:rFonts w:ascii="Times New Roman" w:eastAsia="Times New Roman" w:hAnsi="Times New Roman" w:cs="Times New Roman"/>
        </w:rPr>
        <w:t xml:space="preserve">For this purpose, on April 12, 2018, the Government adopted Decree No. 426-N, which establishes technical regulations for energy </w:t>
      </w:r>
      <w:proofErr w:type="spellStart"/>
      <w:r w:rsidRPr="00092BD3">
        <w:rPr>
          <w:rFonts w:ascii="Times New Roman" w:eastAsia="Times New Roman" w:hAnsi="Times New Roman" w:cs="Times New Roman"/>
        </w:rPr>
        <w:t>effeciency</w:t>
      </w:r>
      <w:proofErr w:type="spellEnd"/>
      <w:r w:rsidRPr="00092BD3">
        <w:rPr>
          <w:rFonts w:ascii="Times New Roman" w:eastAsia="Times New Roman" w:hAnsi="Times New Roman" w:cs="Times New Roman"/>
        </w:rPr>
        <w:t xml:space="preserve"> in newly constructed residential multi-apartment buildings and facilities built with state funding. Construction norms and energy certificates were also established by a separate ordinance. In addition, on June 8, 2023, the Government adopted Decree No. 916-N, which regulates synthetic paints and varnishes, contributing to the regulation of the use of heat-insulating and energy-saving coatings on buildings and structures. It is also worth noting the need to take steps toward centralizing the heating of multi-apartment buildings, which could reduce gas consumption for apartment heating by 35–40 percent.</w:t>
      </w:r>
    </w:p>
    <w:p w14:paraId="347C1A35" w14:textId="77777777" w:rsidR="007409AB" w:rsidRPr="00092BD3" w:rsidRDefault="007409AB" w:rsidP="007409AB">
      <w:pPr>
        <w:spacing w:before="100" w:beforeAutospacing="1" w:after="100" w:afterAutospacing="1" w:line="240" w:lineRule="auto"/>
        <w:jc w:val="both"/>
        <w:rPr>
          <w:rFonts w:ascii="Times New Roman" w:eastAsia="Times New Roman" w:hAnsi="Times New Roman" w:cs="Times New Roman"/>
        </w:rPr>
      </w:pPr>
      <w:r w:rsidRPr="00092BD3">
        <w:rPr>
          <w:rFonts w:ascii="Times New Roman" w:eastAsia="Times New Roman" w:hAnsi="Times New Roman" w:cs="Times New Roman"/>
        </w:rPr>
        <w:t>Last but not least, the authorities do not pay sufficient attention to the management of this sector. Specifically, immediately after the revolution, the Ministry of Energy was abolished and merged with the Ministry of Territorial Administration and Infrastructure. The position of Deputy Minister for Energy within the Ministry of Territorial Administration and Infrastructure has been vacant for a long time now. The Government justifies this by citing the lack of qualified personnel, which cannot be considered a valid reason.</w:t>
      </w:r>
    </w:p>
    <w:p w14:paraId="18062AAA" w14:textId="77777777" w:rsidR="007409AB" w:rsidRPr="00092BD3" w:rsidRDefault="007409AB" w:rsidP="007409AB">
      <w:pPr>
        <w:spacing w:before="100" w:beforeAutospacing="1" w:after="100" w:afterAutospacing="1" w:line="240" w:lineRule="auto"/>
        <w:jc w:val="both"/>
        <w:rPr>
          <w:rFonts w:ascii="Times New Roman" w:eastAsia="Times New Roman" w:hAnsi="Times New Roman" w:cs="Times New Roman"/>
        </w:rPr>
      </w:pPr>
      <w:r w:rsidRPr="00092BD3">
        <w:rPr>
          <w:rFonts w:ascii="Times New Roman" w:eastAsia="Times New Roman" w:hAnsi="Times New Roman" w:cs="Times New Roman"/>
        </w:rPr>
        <w:t>In conclusion of the report, we shall present the scope of activities for the implementation of commitments undertaken by Armenia under CEPA, according to which a significant portion of the activities has yet to be fulfilled.</w:t>
      </w:r>
      <w:r w:rsidRPr="00092BD3">
        <w:rPr>
          <w:rStyle w:val="FootnoteReference"/>
          <w:rFonts w:ascii="Times New Roman" w:hAnsi="Times New Roman" w:cs="Times New Roman"/>
          <w:lang w:val="hy-AM"/>
        </w:rPr>
        <w:footnoteReference w:id="10"/>
      </w:r>
      <w:r w:rsidRPr="00092BD3">
        <w:rPr>
          <w:rFonts w:ascii="Times New Roman" w:eastAsia="Times New Roman" w:hAnsi="Times New Roman" w:cs="Times New Roman"/>
        </w:rPr>
        <w:t xml:space="preserve"> Thus:</w:t>
      </w:r>
    </w:p>
    <w:p w14:paraId="3F9F7335" w14:textId="77777777" w:rsidR="007409AB" w:rsidRPr="00092BD3" w:rsidRDefault="007409AB" w:rsidP="007409AB">
      <w:pPr>
        <w:spacing w:before="100" w:beforeAutospacing="1" w:after="100" w:afterAutospacing="1" w:line="240" w:lineRule="auto"/>
        <w:rPr>
          <w:rFonts w:ascii="Times New Roman" w:eastAsia="Times New Roman" w:hAnsi="Times New Roman" w:cs="Times New Roman"/>
          <w:b/>
          <w:bCs/>
          <w:i/>
          <w:iCs/>
        </w:rPr>
      </w:pPr>
      <w:r w:rsidRPr="00092BD3">
        <w:rPr>
          <w:rFonts w:ascii="Times New Roman" w:eastAsia="Times New Roman" w:hAnsi="Times New Roman" w:cs="Times New Roman"/>
          <w:b/>
          <w:bCs/>
          <w:i/>
          <w:iCs/>
        </w:rPr>
        <w:t>The following actions were planned to be completed by 2024 but remain unfulfilled:</w:t>
      </w:r>
    </w:p>
    <w:p w14:paraId="63137B9D" w14:textId="77777777" w:rsidR="007409AB" w:rsidRPr="00092BD3" w:rsidRDefault="007409AB" w:rsidP="007409AB">
      <w:pPr>
        <w:spacing w:before="100" w:beforeAutospacing="1" w:after="100" w:afterAutospacing="1" w:line="240" w:lineRule="auto"/>
        <w:rPr>
          <w:rFonts w:ascii="Times New Roman" w:eastAsia="Times New Roman" w:hAnsi="Times New Roman" w:cs="Times New Roman"/>
        </w:rPr>
      </w:pPr>
      <w:r w:rsidRPr="00092BD3">
        <w:rPr>
          <w:rFonts w:ascii="Apple Color Emoji" w:eastAsia="Apple Color Emoji" w:hAnsi="Apple Color Emoji" w:cs="Apple Color Emoji"/>
          <w:lang w:val="hy-AM"/>
        </w:rPr>
        <w:t>❌</w:t>
      </w:r>
      <w:r w:rsidRPr="00092BD3">
        <w:rPr>
          <w:rFonts w:ascii="Times New Roman" w:eastAsia="Apple Color Emoji" w:hAnsi="Times New Roman" w:cs="Times New Roman"/>
          <w:lang w:val="hy-AM"/>
        </w:rPr>
        <w:t xml:space="preserve"> </w:t>
      </w:r>
      <w:r w:rsidRPr="00092BD3">
        <w:rPr>
          <w:rFonts w:ascii="Times New Roman" w:eastAsia="Times New Roman" w:hAnsi="Times New Roman" w:cs="Times New Roman"/>
        </w:rPr>
        <w:t>Accountability of investments in the energy sector:</w:t>
      </w:r>
      <w:r w:rsidRPr="00092BD3">
        <w:rPr>
          <w:rFonts w:ascii="Times New Roman" w:eastAsia="Times New Roman" w:hAnsi="Times New Roman" w:cs="Times New Roman"/>
        </w:rPr>
        <w:br/>
        <w:t>Develop a procedure for reporting to the state on investments in the energy sector and related standards, in accordance with EU Regulation 1113/2014.</w:t>
      </w:r>
    </w:p>
    <w:p w14:paraId="7D7A1B2F" w14:textId="77777777" w:rsidR="007409AB" w:rsidRPr="00092BD3" w:rsidRDefault="007409AB" w:rsidP="007409AB">
      <w:pPr>
        <w:spacing w:before="100" w:beforeAutospacing="1" w:after="100" w:afterAutospacing="1" w:line="240" w:lineRule="auto"/>
        <w:rPr>
          <w:rFonts w:ascii="Times New Roman" w:eastAsia="Times New Roman" w:hAnsi="Times New Roman" w:cs="Times New Roman"/>
        </w:rPr>
      </w:pPr>
      <w:r w:rsidRPr="00092BD3">
        <w:rPr>
          <w:rFonts w:ascii="Apple Color Emoji" w:eastAsia="Apple Color Emoji" w:hAnsi="Apple Color Emoji" w:cs="Apple Color Emoji"/>
          <w:lang w:val="hy-AM"/>
        </w:rPr>
        <w:t>❌</w:t>
      </w:r>
      <w:r w:rsidRPr="00092BD3">
        <w:rPr>
          <w:rFonts w:ascii="Times New Roman" w:eastAsia="Times New Roman" w:hAnsi="Times New Roman" w:cs="Times New Roman"/>
        </w:rPr>
        <w:t xml:space="preserve"> Establishment of norms for hydrocarbon extraction:</w:t>
      </w:r>
      <w:r w:rsidRPr="00092BD3">
        <w:rPr>
          <w:rFonts w:ascii="Times New Roman" w:eastAsia="Times New Roman" w:hAnsi="Times New Roman" w:cs="Times New Roman"/>
        </w:rPr>
        <w:br/>
        <w:t>Establish standards and regulations for hydrocarbon extraction applicants, in accordance with Directive 94/22/EC.</w:t>
      </w:r>
    </w:p>
    <w:p w14:paraId="5071E285" w14:textId="77777777" w:rsidR="007409AB" w:rsidRPr="00092BD3" w:rsidRDefault="007409AB" w:rsidP="007409AB">
      <w:pPr>
        <w:spacing w:before="100" w:beforeAutospacing="1" w:after="100" w:afterAutospacing="1" w:line="240" w:lineRule="auto"/>
        <w:rPr>
          <w:rFonts w:ascii="Times New Roman" w:eastAsia="Times New Roman" w:hAnsi="Times New Roman" w:cs="Times New Roman"/>
          <w:b/>
          <w:bCs/>
          <w:i/>
          <w:iCs/>
        </w:rPr>
      </w:pPr>
      <w:r w:rsidRPr="00092BD3">
        <w:rPr>
          <w:rFonts w:ascii="Times New Roman" w:eastAsia="Times New Roman" w:hAnsi="Times New Roman" w:cs="Times New Roman"/>
          <w:b/>
          <w:bCs/>
          <w:i/>
          <w:iCs/>
        </w:rPr>
        <w:t>The following actions were planned to be completed by 2025 but have yet remained unfulfilled:</w:t>
      </w:r>
    </w:p>
    <w:p w14:paraId="3C0BD951"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Development and implementation of a comprehensive energy saving and energy efficiency policy:</w:t>
      </w:r>
    </w:p>
    <w:p w14:paraId="2D9CB977"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Including setting an annual target for reducing energy consumption by 0.24 - 0.28% of total energy consumption per year, as defined in Directive 2012/27/EC.</w:t>
      </w:r>
    </w:p>
    <w:p w14:paraId="7083D72E"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Reconstruction of 3% of the area of ​​public institution buildings with energy-saving standards per year.</w:t>
      </w:r>
    </w:p>
    <w:p w14:paraId="0CE2EE75"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Defined by the same Directive 2012/27/EC.</w:t>
      </w:r>
    </w:p>
    <w:p w14:paraId="78E2C3F6"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lastRenderedPageBreak/>
        <w:t>❌</w:t>
      </w:r>
      <w:r w:rsidRPr="00092BD3">
        <w:rPr>
          <w:rFonts w:ascii="Times New Roman" w:hAnsi="Times New Roman" w:cs="Times New Roman"/>
          <w:lang w:val="hy-AM"/>
        </w:rPr>
        <w:t xml:space="preserve"> Development of an energy-saving policy for operations and procurements in state and local government bodies.</w:t>
      </w:r>
    </w:p>
    <w:p w14:paraId="2E849CD2"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As well as an action plan, as defined by the same Directive 2012/27/EC.</w:t>
      </w:r>
    </w:p>
    <w:p w14:paraId="3080DFDC"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Regulation of heating systems.</w:t>
      </w:r>
    </w:p>
    <w:p w14:paraId="5B18BDE8"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In particular, introduce regulations on the use of heating, regulations aimed at measuring the amount of heat used and limiting it, as defined by the same Directive 2012/27/EC.</w:t>
      </w:r>
    </w:p>
    <w:p w14:paraId="5F3A55F4"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Modernization and remote reading of gas meters.</w:t>
      </w:r>
    </w:p>
    <w:p w14:paraId="5C006853"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Introduce the possibility of remote reading of natural gas meters, ensuring the measurability of gas consumption data, as defined by the same Directive 2012/27/EC.</w:t>
      </w:r>
    </w:p>
    <w:p w14:paraId="16AF2D91"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Introduction of energy labeling of products.</w:t>
      </w:r>
    </w:p>
    <w:p w14:paraId="5973DF5A"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Establish an obligation for manufacturers, importers, sellers and suppliers to place mandatory labels on electrical appliances indicating energy efficiency classes in accordance with the standards of Directive 2010/30/EC.</w:t>
      </w:r>
    </w:p>
    <w:p w14:paraId="4D4C6B11"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Introduction of a nuclear energy policy.</w:t>
      </w:r>
    </w:p>
    <w:p w14:paraId="07B4502F"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Develop and implement a legislative and institutional framework for nuclear energy, as well as establish an authorized body that will define, develop and monitor nuclear safety standards (Directive 2009/71/Euroatom).</w:t>
      </w:r>
    </w:p>
    <w:p w14:paraId="2B74C8DB"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Introduction of a fuel waste management system.</w:t>
      </w:r>
    </w:p>
    <w:p w14:paraId="3A4A52B9"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Adopt and implement legislative acts related to the generation, storage and management of fuel and radioactive waste (Directive 2011/70/Euroatom).</w:t>
      </w:r>
    </w:p>
    <w:p w14:paraId="505462E4" w14:textId="77777777" w:rsidR="007409AB" w:rsidRPr="00092BD3" w:rsidRDefault="007409AB" w:rsidP="007409AB">
      <w:pPr>
        <w:jc w:val="both"/>
        <w:rPr>
          <w:rFonts w:ascii="Times New Roman" w:eastAsia="Times New Roman" w:hAnsi="Times New Roman" w:cs="Times New Roman"/>
          <w:b/>
          <w:bCs/>
          <w:i/>
          <w:iCs/>
        </w:rPr>
      </w:pPr>
      <w:r w:rsidRPr="00092BD3">
        <w:rPr>
          <w:rFonts w:ascii="Times New Roman" w:eastAsia="Times New Roman" w:hAnsi="Times New Roman" w:cs="Times New Roman"/>
          <w:b/>
          <w:bCs/>
          <w:i/>
          <w:iCs/>
        </w:rPr>
        <w:t>The following actions are planned to be implemented by 2026.</w:t>
      </w:r>
    </w:p>
    <w:p w14:paraId="50629CF1"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Introduction of a minimum national fuel reserve requirement.</w:t>
      </w:r>
    </w:p>
    <w:p w14:paraId="722BBAC4"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The state is committed to establishing a regulation on having a reserve of gas and other fuels for at least 61 days of consumption, as required by Directive 2009/119/EC.</w:t>
      </w:r>
    </w:p>
    <w:p w14:paraId="12A8DCA7"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Compliance with the threshold of energy carriers in cogeneration.</w:t>
      </w:r>
    </w:p>
    <w:p w14:paraId="7325B86C"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Provide for energy carrier ratios for mixed energy generation, as defined in the Annex to Directive 2015/2402/EC.</w:t>
      </w:r>
    </w:p>
    <w:p w14:paraId="09210B90"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Implementation of a policy on energy profiling of buildings.</w:t>
      </w:r>
    </w:p>
    <w:p w14:paraId="53C53E65"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Introduce energy certification, energy efficiency compliance, and climate control systems for buildings and structures, as defined in Directive 2010/31/EU.</w:t>
      </w:r>
    </w:p>
    <w:p w14:paraId="50F7938A" w14:textId="77777777" w:rsidR="007409AB" w:rsidRPr="00092BD3" w:rsidRDefault="007409AB" w:rsidP="007409AB">
      <w:pPr>
        <w:jc w:val="both"/>
        <w:rPr>
          <w:rFonts w:ascii="Times New Roman" w:eastAsia="Times New Roman" w:hAnsi="Times New Roman" w:cs="Times New Roman"/>
          <w:b/>
          <w:bCs/>
          <w:i/>
          <w:iCs/>
        </w:rPr>
      </w:pPr>
      <w:r w:rsidRPr="00092BD3">
        <w:rPr>
          <w:rFonts w:ascii="Times New Roman" w:eastAsia="Times New Roman" w:hAnsi="Times New Roman" w:cs="Times New Roman"/>
          <w:b/>
          <w:bCs/>
          <w:i/>
          <w:iCs/>
        </w:rPr>
        <w:t>The following actions are planned to be implemented by</w:t>
      </w:r>
      <w:r w:rsidRPr="00092BD3">
        <w:rPr>
          <w:rFonts w:ascii="Times New Roman" w:hAnsi="Times New Roman" w:cs="Times New Roman"/>
          <w:lang w:val="hy-AM"/>
        </w:rPr>
        <w:t xml:space="preserve"> </w:t>
      </w:r>
      <w:r w:rsidRPr="00092BD3">
        <w:rPr>
          <w:rFonts w:ascii="Times New Roman" w:eastAsia="Times New Roman" w:hAnsi="Times New Roman" w:cs="Times New Roman"/>
          <w:b/>
          <w:bCs/>
          <w:i/>
          <w:iCs/>
        </w:rPr>
        <w:t>2027.</w:t>
      </w:r>
    </w:p>
    <w:p w14:paraId="44E3EFB9"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Implementation of a system for security and stability of the electricity market.</w:t>
      </w:r>
    </w:p>
    <w:p w14:paraId="777056D5"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t>Introduce guarantees of balancing supply and demand in the domestic electricity market, system stability, including through sufficient investments, as defined in Directive 2005/89/EC.</w:t>
      </w:r>
    </w:p>
    <w:p w14:paraId="2BC02649" w14:textId="77777777" w:rsidR="007409AB" w:rsidRPr="00092BD3" w:rsidRDefault="007409AB" w:rsidP="007409AB">
      <w:pPr>
        <w:jc w:val="both"/>
        <w:rPr>
          <w:rFonts w:ascii="Times New Roman" w:hAnsi="Times New Roman" w:cs="Times New Roman"/>
          <w:lang w:val="hy-AM"/>
        </w:rPr>
      </w:pPr>
      <w:r w:rsidRPr="00092BD3">
        <w:rPr>
          <w:rFonts w:ascii="Apple Color Emoji" w:eastAsia="Apple Color Emoji" w:hAnsi="Apple Color Emoji" w:cs="Apple Color Emoji"/>
          <w:lang w:val="hy-AM"/>
        </w:rPr>
        <w:t>❌</w:t>
      </w:r>
      <w:r w:rsidRPr="00092BD3">
        <w:rPr>
          <w:rFonts w:ascii="Times New Roman" w:hAnsi="Times New Roman" w:cs="Times New Roman"/>
          <w:lang w:val="hy-AM"/>
        </w:rPr>
        <w:t xml:space="preserve"> Preparatory work is underway to draft legislation on radioactive waste management. A strategy has been adopted.</w:t>
      </w:r>
    </w:p>
    <w:p w14:paraId="05899092" w14:textId="77777777" w:rsidR="007409AB" w:rsidRPr="00092BD3" w:rsidRDefault="007409AB" w:rsidP="007409AB">
      <w:pPr>
        <w:jc w:val="both"/>
        <w:rPr>
          <w:rFonts w:ascii="Times New Roman" w:hAnsi="Times New Roman" w:cs="Times New Roman"/>
          <w:lang w:val="hy-AM"/>
        </w:rPr>
      </w:pPr>
      <w:r w:rsidRPr="00092BD3">
        <w:rPr>
          <w:rFonts w:ascii="Times New Roman" w:hAnsi="Times New Roman" w:cs="Times New Roman"/>
          <w:lang w:val="hy-AM"/>
        </w:rPr>
        <w:lastRenderedPageBreak/>
        <w:t>As per our assessment, such an unsatisfying situation in the implementation of the CEPA is due to the following factors:</w:t>
      </w:r>
    </w:p>
    <w:p w14:paraId="097BE08C" w14:textId="77777777" w:rsidR="007409AB" w:rsidRPr="00092BD3" w:rsidRDefault="007409AB" w:rsidP="007409AB">
      <w:pPr>
        <w:jc w:val="both"/>
        <w:rPr>
          <w:rFonts w:ascii="Times New Roman" w:hAnsi="Times New Roman" w:cs="Times New Roman"/>
          <w:i/>
          <w:iCs/>
          <w:lang w:val="hy-AM"/>
        </w:rPr>
      </w:pPr>
      <w:r w:rsidRPr="00092BD3">
        <w:rPr>
          <w:rFonts w:ascii="Times New Roman" w:hAnsi="Times New Roman" w:cs="Times New Roman"/>
          <w:i/>
          <w:iCs/>
          <w:lang w:val="hy-AM"/>
        </w:rPr>
        <w:t xml:space="preserve">1. A severely inadequate level of capacity among the staff of relevant state bodies implementing the commitments undertaken under the CEPA (hereinafter referred to as the </w:t>
      </w:r>
      <w:r w:rsidRPr="00092BD3">
        <w:rPr>
          <w:rFonts w:ascii="Times New Roman" w:hAnsi="Times New Roman" w:cs="Times New Roman"/>
          <w:i/>
          <w:iCs/>
        </w:rPr>
        <w:t>“</w:t>
      </w:r>
      <w:r w:rsidRPr="00092BD3">
        <w:rPr>
          <w:rFonts w:ascii="Times New Roman" w:hAnsi="Times New Roman" w:cs="Times New Roman"/>
          <w:i/>
          <w:iCs/>
          <w:lang w:val="hy-AM"/>
        </w:rPr>
        <w:t>Commitments</w:t>
      </w:r>
      <w:r w:rsidRPr="00092BD3">
        <w:rPr>
          <w:rFonts w:ascii="Times New Roman" w:hAnsi="Times New Roman" w:cs="Times New Roman"/>
          <w:i/>
          <w:iCs/>
        </w:rPr>
        <w:t>”</w:t>
      </w:r>
      <w:r w:rsidRPr="00092BD3">
        <w:rPr>
          <w:rFonts w:ascii="Times New Roman" w:hAnsi="Times New Roman" w:cs="Times New Roman"/>
          <w:i/>
          <w:iCs/>
          <w:lang w:val="hy-AM"/>
        </w:rPr>
        <w:t>).</w:t>
      </w:r>
    </w:p>
    <w:p w14:paraId="7062147A" w14:textId="77777777" w:rsidR="007409AB" w:rsidRPr="00092BD3" w:rsidRDefault="007409AB" w:rsidP="007409AB">
      <w:pPr>
        <w:jc w:val="both"/>
        <w:rPr>
          <w:rFonts w:ascii="Times New Roman" w:hAnsi="Times New Roman" w:cs="Times New Roman"/>
          <w:i/>
          <w:iCs/>
          <w:lang w:val="hy-AM"/>
        </w:rPr>
      </w:pPr>
      <w:r w:rsidRPr="00092BD3">
        <w:rPr>
          <w:rFonts w:ascii="Times New Roman" w:hAnsi="Times New Roman" w:cs="Times New Roman"/>
          <w:i/>
          <w:iCs/>
          <w:lang w:val="hy-AM"/>
        </w:rPr>
        <w:t>2. Low motivation among some employees of relevant state entities implementing the Commitments to enhance their capacity.</w:t>
      </w:r>
    </w:p>
    <w:p w14:paraId="7DB8804E" w14:textId="77777777" w:rsidR="007409AB" w:rsidRPr="00092BD3" w:rsidRDefault="007409AB" w:rsidP="007409AB">
      <w:pPr>
        <w:jc w:val="both"/>
        <w:rPr>
          <w:rFonts w:ascii="Times New Roman" w:hAnsi="Times New Roman" w:cs="Times New Roman"/>
          <w:i/>
          <w:iCs/>
          <w:lang w:val="hy-AM"/>
        </w:rPr>
      </w:pPr>
      <w:r w:rsidRPr="00092BD3">
        <w:rPr>
          <w:rFonts w:ascii="Times New Roman" w:hAnsi="Times New Roman" w:cs="Times New Roman"/>
          <w:i/>
          <w:iCs/>
          <w:lang w:val="hy-AM"/>
        </w:rPr>
        <w:t>3. Deliberate sabotage by some employees of relevant state bodies implementing the Commitments, due to domestic and foreign political reasons.</w:t>
      </w:r>
    </w:p>
    <w:p w14:paraId="2A1F376F" w14:textId="77777777" w:rsidR="007409AB" w:rsidRPr="00092BD3" w:rsidRDefault="007409AB" w:rsidP="007409AB">
      <w:pPr>
        <w:jc w:val="both"/>
        <w:rPr>
          <w:rFonts w:ascii="Times New Roman" w:hAnsi="Times New Roman" w:cs="Times New Roman"/>
          <w:i/>
          <w:iCs/>
          <w:lang w:val="hy-AM"/>
        </w:rPr>
      </w:pPr>
      <w:r w:rsidRPr="00092BD3">
        <w:rPr>
          <w:rFonts w:ascii="Times New Roman" w:hAnsi="Times New Roman" w:cs="Times New Roman"/>
          <w:i/>
          <w:iCs/>
          <w:lang w:val="hy-AM"/>
        </w:rPr>
        <w:t xml:space="preserve">4. Institutional/structural issues (e.g., dissolution of the Ministry of Energy and long-term absence of a Deputy Minister for Energy and Energy Policy at the Ministry of Territorial Administration and Infrastructure, absence of an entity for European Integration and Approximation in the form of either a Ministry or a Deputy Prime Ministerial institution) </w:t>
      </w:r>
    </w:p>
    <w:p w14:paraId="0A9E63FC" w14:textId="77777777" w:rsidR="007409AB" w:rsidRPr="00092BD3" w:rsidRDefault="007409AB" w:rsidP="007409AB">
      <w:pPr>
        <w:jc w:val="both"/>
        <w:rPr>
          <w:rFonts w:ascii="Times New Roman" w:hAnsi="Times New Roman" w:cs="Times New Roman"/>
          <w:i/>
          <w:iCs/>
          <w:lang w:val="hy-AM"/>
        </w:rPr>
      </w:pPr>
      <w:r w:rsidRPr="00092BD3">
        <w:rPr>
          <w:rFonts w:ascii="Times New Roman" w:hAnsi="Times New Roman" w:cs="Times New Roman"/>
          <w:i/>
          <w:iCs/>
          <w:lang w:val="hy-AM"/>
        </w:rPr>
        <w:t xml:space="preserve">5. Insufficient pace of development and alignment of the legislative framework in the energy and environmental sectors with EU standards </w:t>
      </w:r>
    </w:p>
    <w:p w14:paraId="796E7909" w14:textId="77777777" w:rsidR="007409AB" w:rsidRPr="00092BD3" w:rsidRDefault="007409AB" w:rsidP="007409AB">
      <w:pPr>
        <w:jc w:val="both"/>
        <w:rPr>
          <w:rFonts w:ascii="Times New Roman" w:hAnsi="Times New Roman" w:cs="Times New Roman"/>
          <w:i/>
          <w:iCs/>
          <w:lang w:val="hy-AM"/>
        </w:rPr>
      </w:pPr>
      <w:r w:rsidRPr="00092BD3">
        <w:rPr>
          <w:rFonts w:ascii="Times New Roman" w:hAnsi="Times New Roman" w:cs="Times New Roman"/>
          <w:i/>
          <w:iCs/>
          <w:lang w:val="hy-AM"/>
        </w:rPr>
        <w:t>6. Insufficient level of monitoring and control of the work carried out by the public/civil society towards the implementation of commitments due to the lack of appropriate financial resources.</w:t>
      </w:r>
    </w:p>
    <w:p w14:paraId="1E263AD8" w14:textId="77777777" w:rsidR="007409AB" w:rsidRPr="00092BD3" w:rsidRDefault="007409AB" w:rsidP="007409AB">
      <w:pPr>
        <w:jc w:val="both"/>
        <w:rPr>
          <w:rFonts w:ascii="Times New Roman" w:hAnsi="Times New Roman" w:cs="Times New Roman"/>
          <w:lang w:val="hy-AM"/>
        </w:rPr>
      </w:pPr>
    </w:p>
    <w:p w14:paraId="3BAC2B96" w14:textId="77777777" w:rsidR="007409AB" w:rsidRPr="00092BD3" w:rsidRDefault="007409AB" w:rsidP="007409AB">
      <w:pPr>
        <w:jc w:val="both"/>
        <w:rPr>
          <w:rFonts w:ascii="Times New Roman" w:hAnsi="Times New Roman" w:cs="Times New Roman"/>
          <w:i/>
          <w:lang w:val="hy-AM"/>
        </w:rPr>
      </w:pPr>
    </w:p>
    <w:p w14:paraId="5710FF65" w14:textId="77777777" w:rsidR="007409AB" w:rsidRPr="00092BD3" w:rsidRDefault="007409AB" w:rsidP="007409AB">
      <w:pPr>
        <w:jc w:val="both"/>
        <w:rPr>
          <w:rFonts w:ascii="Times New Roman" w:hAnsi="Times New Roman" w:cs="Times New Roman"/>
          <w:i/>
          <w:lang w:val="hy-AM"/>
        </w:rPr>
      </w:pPr>
    </w:p>
    <w:p w14:paraId="4222A0BB" w14:textId="77777777" w:rsidR="007409AB" w:rsidRPr="00092BD3" w:rsidRDefault="007409AB" w:rsidP="007409AB">
      <w:pPr>
        <w:jc w:val="both"/>
        <w:rPr>
          <w:rFonts w:ascii="Times New Roman" w:hAnsi="Times New Roman" w:cs="Times New Roman"/>
          <w:i/>
          <w:lang w:val="hy-AM"/>
        </w:rPr>
      </w:pPr>
    </w:p>
    <w:p w14:paraId="14FA021C" w14:textId="57C737E9" w:rsidR="003F6D7B" w:rsidRPr="00092BD3" w:rsidRDefault="003F6D7B" w:rsidP="007409AB">
      <w:pPr>
        <w:spacing w:after="0" w:line="312" w:lineRule="auto"/>
        <w:ind w:firstLine="432"/>
        <w:jc w:val="both"/>
        <w:rPr>
          <w:rFonts w:ascii="Times New Roman" w:hAnsi="Times New Roman" w:cs="Times New Roman"/>
        </w:rPr>
      </w:pPr>
    </w:p>
    <w:sectPr w:rsidR="003F6D7B" w:rsidRPr="00092B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79BEF" w14:textId="77777777" w:rsidR="00F91BE3" w:rsidRDefault="00F91BE3" w:rsidP="009B4421">
      <w:pPr>
        <w:spacing w:after="0" w:line="240" w:lineRule="auto"/>
      </w:pPr>
      <w:r>
        <w:separator/>
      </w:r>
    </w:p>
  </w:endnote>
  <w:endnote w:type="continuationSeparator" w:id="0">
    <w:p w14:paraId="41B8475C" w14:textId="77777777" w:rsidR="00F91BE3" w:rsidRDefault="00F91BE3" w:rsidP="009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Aptos Display">
    <w:altName w:val="Arial"/>
    <w:charset w:val="00"/>
    <w:family w:val="swiss"/>
    <w:pitch w:val="variable"/>
    <w:sig w:usb0="20000287" w:usb1="00000003" w:usb2="00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062942"/>
      <w:docPartObj>
        <w:docPartGallery w:val="Page Numbers (Bottom of Page)"/>
        <w:docPartUnique/>
      </w:docPartObj>
    </w:sdtPr>
    <w:sdtEndPr>
      <w:rPr>
        <w:noProof/>
      </w:rPr>
    </w:sdtEndPr>
    <w:sdtContent>
      <w:p w14:paraId="74360F6F" w14:textId="18A4ACA6" w:rsidR="00C92D72" w:rsidRDefault="00C92D72">
        <w:pPr>
          <w:pStyle w:val="Footer"/>
          <w:jc w:val="center"/>
        </w:pPr>
        <w:r>
          <w:fldChar w:fldCharType="begin"/>
        </w:r>
        <w:r>
          <w:instrText xml:space="preserve"> PAGE   \* MERGEFORMAT </w:instrText>
        </w:r>
        <w:r>
          <w:fldChar w:fldCharType="separate"/>
        </w:r>
        <w:r w:rsidR="00617835">
          <w:rPr>
            <w:noProof/>
          </w:rPr>
          <w:t>6</w:t>
        </w:r>
        <w:r>
          <w:rPr>
            <w:noProof/>
          </w:rPr>
          <w:fldChar w:fldCharType="end"/>
        </w:r>
      </w:p>
    </w:sdtContent>
  </w:sdt>
  <w:p w14:paraId="2694160D" w14:textId="77777777" w:rsidR="00C92D72" w:rsidRDefault="00C92D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9F8FA" w14:textId="77777777" w:rsidR="00F91BE3" w:rsidRDefault="00F91BE3" w:rsidP="009B4421">
      <w:pPr>
        <w:spacing w:after="0" w:line="240" w:lineRule="auto"/>
      </w:pPr>
      <w:r>
        <w:separator/>
      </w:r>
    </w:p>
  </w:footnote>
  <w:footnote w:type="continuationSeparator" w:id="0">
    <w:p w14:paraId="7B6177DF" w14:textId="77777777" w:rsidR="00F91BE3" w:rsidRDefault="00F91BE3" w:rsidP="009B4421">
      <w:pPr>
        <w:spacing w:after="0" w:line="240" w:lineRule="auto"/>
      </w:pPr>
      <w:r>
        <w:continuationSeparator/>
      </w:r>
    </w:p>
  </w:footnote>
  <w:footnote w:id="1">
    <w:p w14:paraId="457CF402"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995B7A">
        <w:rPr>
          <w:rFonts w:ascii="Times New Roman" w:hAnsi="Times New Roman" w:cs="Times New Roman"/>
          <w:sz w:val="18"/>
          <w:szCs w:val="18"/>
          <w:lang w:val="pt-BR"/>
        </w:rPr>
        <w:t xml:space="preserve"> </w:t>
      </w:r>
      <w:hyperlink r:id="rId1" w:history="1">
        <w:r w:rsidRPr="00995B7A">
          <w:rPr>
            <w:rStyle w:val="Hyperlink"/>
            <w:rFonts w:ascii="Times New Roman" w:hAnsi="Times New Roman" w:cs="Times New Roman"/>
            <w:sz w:val="18"/>
            <w:szCs w:val="18"/>
            <w:lang w:val="pt-BR"/>
          </w:rPr>
          <w:t>https://www.arlis.am/DocumentView.aspx?docid=161408</w:t>
        </w:r>
      </w:hyperlink>
      <w:r w:rsidRPr="00092BD3">
        <w:rPr>
          <w:rFonts w:ascii="Times New Roman" w:hAnsi="Times New Roman" w:cs="Times New Roman"/>
          <w:sz w:val="18"/>
          <w:szCs w:val="18"/>
          <w:lang w:val="hy-AM"/>
        </w:rPr>
        <w:t xml:space="preserve"> </w:t>
      </w:r>
    </w:p>
  </w:footnote>
  <w:footnote w:id="2">
    <w:p w14:paraId="65A9D4E7" w14:textId="77777777" w:rsidR="00C92D72" w:rsidRPr="00092BD3" w:rsidRDefault="00C92D72" w:rsidP="007409AB">
      <w:pPr>
        <w:pStyle w:val="FootnoteText"/>
        <w:rPr>
          <w:rStyle w:val="Hyperlink"/>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2" w:history="1">
        <w:r w:rsidRPr="00092BD3">
          <w:rPr>
            <w:rStyle w:val="Hyperlink"/>
            <w:rFonts w:ascii="Times New Roman" w:hAnsi="Times New Roman" w:cs="Times New Roman"/>
            <w:sz w:val="18"/>
            <w:szCs w:val="18"/>
            <w:lang w:val="hy-AM"/>
          </w:rPr>
          <w:t>https://web.archive.org/web/20220804083631/https://www.e-gov.am/gov-decrees/item/33223/</w:t>
        </w:r>
      </w:hyperlink>
      <w:r w:rsidRPr="00092BD3">
        <w:rPr>
          <w:rStyle w:val="Hyperlink"/>
          <w:rFonts w:ascii="Times New Roman" w:hAnsi="Times New Roman" w:cs="Times New Roman"/>
          <w:sz w:val="18"/>
          <w:szCs w:val="18"/>
          <w:lang w:val="hy-AM"/>
        </w:rPr>
        <w:t xml:space="preserve"> </w:t>
      </w:r>
    </w:p>
  </w:footnote>
  <w:footnote w:id="3">
    <w:p w14:paraId="3F599C80"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3" w:history="1">
        <w:r w:rsidRPr="00092BD3">
          <w:rPr>
            <w:rStyle w:val="Hyperlink"/>
            <w:rFonts w:ascii="Times New Roman" w:hAnsi="Times New Roman" w:cs="Times New Roman"/>
            <w:sz w:val="18"/>
            <w:szCs w:val="18"/>
            <w:lang w:val="hy-AM"/>
          </w:rPr>
          <w:t>https://web.archive.org/web/20220331121300/https://www.ecolur.org/hy/news/officials/13267/</w:t>
        </w:r>
      </w:hyperlink>
      <w:r w:rsidRPr="00092BD3">
        <w:rPr>
          <w:rFonts w:ascii="Times New Roman" w:hAnsi="Times New Roman" w:cs="Times New Roman"/>
          <w:sz w:val="18"/>
          <w:szCs w:val="18"/>
          <w:lang w:val="hy-AM"/>
        </w:rPr>
        <w:t xml:space="preserve"> </w:t>
      </w:r>
    </w:p>
  </w:footnote>
  <w:footnote w:id="4">
    <w:p w14:paraId="6BD5BAA1"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4" w:history="1">
        <w:r w:rsidRPr="00092BD3">
          <w:rPr>
            <w:rStyle w:val="Hyperlink"/>
            <w:rFonts w:ascii="Times New Roman" w:hAnsi="Times New Roman" w:cs="Times New Roman"/>
            <w:sz w:val="18"/>
            <w:szCs w:val="18"/>
            <w:lang w:val="hy-AM"/>
          </w:rPr>
          <w:t>https://www.hetq.am/hy/article/157962</w:t>
        </w:r>
      </w:hyperlink>
      <w:r w:rsidRPr="00092BD3">
        <w:rPr>
          <w:rFonts w:ascii="Times New Roman" w:hAnsi="Times New Roman" w:cs="Times New Roman"/>
          <w:sz w:val="18"/>
          <w:szCs w:val="18"/>
          <w:lang w:val="hy-AM"/>
        </w:rPr>
        <w:t xml:space="preserve"> </w:t>
      </w:r>
    </w:p>
  </w:footnote>
  <w:footnote w:id="5">
    <w:p w14:paraId="0165B46B"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5" w:history="1">
        <w:r w:rsidRPr="00092BD3">
          <w:rPr>
            <w:rStyle w:val="Hyperlink"/>
            <w:rFonts w:ascii="Times New Roman" w:hAnsi="Times New Roman" w:cs="Times New Roman"/>
            <w:sz w:val="18"/>
            <w:szCs w:val="18"/>
            <w:lang w:val="hy-AM"/>
          </w:rPr>
          <w:t>https://www.gem.wiki/Ayg-1_solar_farm</w:t>
        </w:r>
      </w:hyperlink>
      <w:r w:rsidRPr="00092BD3">
        <w:rPr>
          <w:rFonts w:ascii="Times New Roman" w:hAnsi="Times New Roman" w:cs="Times New Roman"/>
          <w:sz w:val="18"/>
          <w:szCs w:val="18"/>
          <w:lang w:val="hy-AM"/>
        </w:rPr>
        <w:t xml:space="preserve"> </w:t>
      </w:r>
    </w:p>
  </w:footnote>
  <w:footnote w:id="6">
    <w:p w14:paraId="35C71F26"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6" w:history="1">
        <w:r w:rsidRPr="00092BD3">
          <w:rPr>
            <w:rStyle w:val="Hyperlink"/>
            <w:rFonts w:ascii="Times New Roman" w:hAnsi="Times New Roman" w:cs="Times New Roman"/>
            <w:sz w:val="18"/>
            <w:szCs w:val="18"/>
            <w:lang w:val="hy-AM"/>
          </w:rPr>
          <w:t>http://www.minenergy.am/page/verakang</w:t>
        </w:r>
      </w:hyperlink>
      <w:r w:rsidRPr="00092BD3">
        <w:rPr>
          <w:rFonts w:ascii="Times New Roman" w:hAnsi="Times New Roman" w:cs="Times New Roman"/>
          <w:sz w:val="18"/>
          <w:szCs w:val="18"/>
          <w:lang w:val="hy-AM"/>
        </w:rPr>
        <w:t xml:space="preserve"> </w:t>
      </w:r>
    </w:p>
  </w:footnote>
  <w:footnote w:id="7">
    <w:p w14:paraId="3302CA13"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7" w:history="1">
        <w:r w:rsidRPr="00092BD3">
          <w:rPr>
            <w:rStyle w:val="Hyperlink"/>
            <w:rFonts w:ascii="Times New Roman" w:hAnsi="Times New Roman" w:cs="Times New Roman"/>
            <w:sz w:val="18"/>
            <w:szCs w:val="18"/>
            <w:lang w:val="hy-AM"/>
          </w:rPr>
          <w:t>https://armenpress.am/hy/article/448595</w:t>
        </w:r>
      </w:hyperlink>
      <w:r w:rsidRPr="00092BD3">
        <w:rPr>
          <w:rStyle w:val="Hyperlink"/>
          <w:rFonts w:ascii="Times New Roman" w:hAnsi="Times New Roman" w:cs="Times New Roman"/>
          <w:sz w:val="18"/>
          <w:szCs w:val="18"/>
          <w:lang w:val="hy-AM"/>
        </w:rPr>
        <w:t xml:space="preserve"> </w:t>
      </w:r>
    </w:p>
  </w:footnote>
  <w:footnote w:id="8">
    <w:p w14:paraId="0D0F14F8"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8" w:history="1">
        <w:r w:rsidRPr="00092BD3">
          <w:rPr>
            <w:rStyle w:val="Hyperlink"/>
            <w:rFonts w:ascii="Times New Roman" w:hAnsi="Times New Roman" w:cs="Times New Roman"/>
            <w:sz w:val="18"/>
            <w:szCs w:val="18"/>
            <w:lang w:val="hy-AM"/>
          </w:rPr>
          <w:t>https://arm.sputniknews.ru/20231008/hhum-kasecvel-e-kensagazi-artadrutjan-miak-licenzian-gvortsarani-hamar-gnvord-en-pntrum-66954209.html</w:t>
        </w:r>
      </w:hyperlink>
      <w:r w:rsidRPr="00092BD3">
        <w:rPr>
          <w:rFonts w:ascii="Times New Roman" w:hAnsi="Times New Roman" w:cs="Times New Roman"/>
          <w:sz w:val="18"/>
          <w:szCs w:val="18"/>
          <w:lang w:val="hy-AM"/>
        </w:rPr>
        <w:t xml:space="preserve"> </w:t>
      </w:r>
    </w:p>
  </w:footnote>
  <w:footnote w:id="9">
    <w:p w14:paraId="16A42E4F"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9" w:history="1">
        <w:r w:rsidRPr="00092BD3">
          <w:rPr>
            <w:rStyle w:val="Hyperlink"/>
            <w:rFonts w:ascii="Times New Roman" w:hAnsi="Times New Roman" w:cs="Times New Roman"/>
            <w:sz w:val="18"/>
            <w:szCs w:val="18"/>
            <w:lang w:val="hy-AM"/>
          </w:rPr>
          <w:t>www.mathnet.ru/links/434d0b29615e0924254275313da59a7a/nuaca271.pdf</w:t>
        </w:r>
      </w:hyperlink>
      <w:r w:rsidRPr="00092BD3">
        <w:rPr>
          <w:rStyle w:val="Hyperlink"/>
          <w:rFonts w:ascii="Times New Roman" w:hAnsi="Times New Roman" w:cs="Times New Roman"/>
          <w:sz w:val="18"/>
          <w:szCs w:val="18"/>
          <w:lang w:val="hy-AM"/>
        </w:rPr>
        <w:t xml:space="preserve"> </w:t>
      </w:r>
    </w:p>
  </w:footnote>
  <w:footnote w:id="10">
    <w:p w14:paraId="339159BA" w14:textId="77777777" w:rsidR="00C92D72" w:rsidRPr="00092BD3" w:rsidRDefault="00C92D72" w:rsidP="007409AB">
      <w:pPr>
        <w:pStyle w:val="FootnoteText"/>
        <w:rPr>
          <w:rFonts w:ascii="Times New Roman" w:hAnsi="Times New Roman" w:cs="Times New Roman"/>
          <w:sz w:val="18"/>
          <w:szCs w:val="18"/>
          <w:lang w:val="hy-AM"/>
        </w:rPr>
      </w:pPr>
      <w:r w:rsidRPr="00092BD3">
        <w:rPr>
          <w:rStyle w:val="FootnoteReference"/>
          <w:rFonts w:ascii="Times New Roman" w:hAnsi="Times New Roman" w:cs="Times New Roman"/>
          <w:sz w:val="18"/>
          <w:szCs w:val="18"/>
        </w:rPr>
        <w:footnoteRef/>
      </w:r>
      <w:r w:rsidRPr="00092BD3">
        <w:rPr>
          <w:rFonts w:ascii="Times New Roman" w:hAnsi="Times New Roman" w:cs="Times New Roman"/>
          <w:sz w:val="18"/>
          <w:szCs w:val="18"/>
          <w:lang w:val="hy-AM"/>
        </w:rPr>
        <w:t xml:space="preserve"> </w:t>
      </w:r>
      <w:hyperlink r:id="rId10" w:history="1">
        <w:r w:rsidRPr="00092BD3">
          <w:rPr>
            <w:rStyle w:val="Hyperlink"/>
            <w:rFonts w:ascii="Times New Roman" w:hAnsi="Times New Roman" w:cs="Times New Roman"/>
            <w:sz w:val="18"/>
            <w:szCs w:val="18"/>
            <w:lang w:val="hy-AM"/>
          </w:rPr>
          <w:t>https://eu-armenia.am/energy</w:t>
        </w:r>
      </w:hyperlink>
      <w:r w:rsidRPr="00092BD3">
        <w:rPr>
          <w:rFonts w:ascii="Times New Roman" w:hAnsi="Times New Roman" w:cs="Times New Roman"/>
          <w:sz w:val="18"/>
          <w:szCs w:val="18"/>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3CE4"/>
    <w:multiLevelType w:val="hybridMultilevel"/>
    <w:tmpl w:val="8526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A1154"/>
    <w:multiLevelType w:val="multilevel"/>
    <w:tmpl w:val="D76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247DD"/>
    <w:multiLevelType w:val="hybridMultilevel"/>
    <w:tmpl w:val="7242D11E"/>
    <w:lvl w:ilvl="0" w:tplc="69E60804">
      <w:start w:val="13"/>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132A8"/>
    <w:multiLevelType w:val="hybridMultilevel"/>
    <w:tmpl w:val="3B92E36A"/>
    <w:lvl w:ilvl="0" w:tplc="04090001">
      <w:start w:val="1"/>
      <w:numFmt w:val="bullet"/>
      <w:lvlText w:val=""/>
      <w:lvlJc w:val="left"/>
      <w:pPr>
        <w:ind w:left="1428" w:hanging="360"/>
      </w:pPr>
      <w:rPr>
        <w:rFonts w:ascii="Symbol" w:hAnsi="Symbol" w:hint="default"/>
      </w:rPr>
    </w:lvl>
    <w:lvl w:ilvl="1" w:tplc="042B0003" w:tentative="1">
      <w:start w:val="1"/>
      <w:numFmt w:val="bullet"/>
      <w:lvlText w:val="o"/>
      <w:lvlJc w:val="left"/>
      <w:pPr>
        <w:ind w:left="2148" w:hanging="360"/>
      </w:pPr>
      <w:rPr>
        <w:rFonts w:ascii="Courier New" w:hAnsi="Courier New" w:cs="Courier New" w:hint="default"/>
      </w:rPr>
    </w:lvl>
    <w:lvl w:ilvl="2" w:tplc="042B0005" w:tentative="1">
      <w:start w:val="1"/>
      <w:numFmt w:val="bullet"/>
      <w:lvlText w:val=""/>
      <w:lvlJc w:val="left"/>
      <w:pPr>
        <w:ind w:left="2868" w:hanging="360"/>
      </w:pPr>
      <w:rPr>
        <w:rFonts w:ascii="Wingdings" w:hAnsi="Wingdings" w:hint="default"/>
      </w:rPr>
    </w:lvl>
    <w:lvl w:ilvl="3" w:tplc="042B0001" w:tentative="1">
      <w:start w:val="1"/>
      <w:numFmt w:val="bullet"/>
      <w:lvlText w:val=""/>
      <w:lvlJc w:val="left"/>
      <w:pPr>
        <w:ind w:left="3588" w:hanging="360"/>
      </w:pPr>
      <w:rPr>
        <w:rFonts w:ascii="Symbol" w:hAnsi="Symbol" w:hint="default"/>
      </w:rPr>
    </w:lvl>
    <w:lvl w:ilvl="4" w:tplc="042B0003" w:tentative="1">
      <w:start w:val="1"/>
      <w:numFmt w:val="bullet"/>
      <w:lvlText w:val="o"/>
      <w:lvlJc w:val="left"/>
      <w:pPr>
        <w:ind w:left="4308" w:hanging="360"/>
      </w:pPr>
      <w:rPr>
        <w:rFonts w:ascii="Courier New" w:hAnsi="Courier New" w:cs="Courier New" w:hint="default"/>
      </w:rPr>
    </w:lvl>
    <w:lvl w:ilvl="5" w:tplc="042B0005" w:tentative="1">
      <w:start w:val="1"/>
      <w:numFmt w:val="bullet"/>
      <w:lvlText w:val=""/>
      <w:lvlJc w:val="left"/>
      <w:pPr>
        <w:ind w:left="5028" w:hanging="360"/>
      </w:pPr>
      <w:rPr>
        <w:rFonts w:ascii="Wingdings" w:hAnsi="Wingdings" w:hint="default"/>
      </w:rPr>
    </w:lvl>
    <w:lvl w:ilvl="6" w:tplc="042B0001" w:tentative="1">
      <w:start w:val="1"/>
      <w:numFmt w:val="bullet"/>
      <w:lvlText w:val=""/>
      <w:lvlJc w:val="left"/>
      <w:pPr>
        <w:ind w:left="5748" w:hanging="360"/>
      </w:pPr>
      <w:rPr>
        <w:rFonts w:ascii="Symbol" w:hAnsi="Symbol" w:hint="default"/>
      </w:rPr>
    </w:lvl>
    <w:lvl w:ilvl="7" w:tplc="042B0003" w:tentative="1">
      <w:start w:val="1"/>
      <w:numFmt w:val="bullet"/>
      <w:lvlText w:val="o"/>
      <w:lvlJc w:val="left"/>
      <w:pPr>
        <w:ind w:left="6468" w:hanging="360"/>
      </w:pPr>
      <w:rPr>
        <w:rFonts w:ascii="Courier New" w:hAnsi="Courier New" w:cs="Courier New" w:hint="default"/>
      </w:rPr>
    </w:lvl>
    <w:lvl w:ilvl="8" w:tplc="042B0005" w:tentative="1">
      <w:start w:val="1"/>
      <w:numFmt w:val="bullet"/>
      <w:lvlText w:val=""/>
      <w:lvlJc w:val="left"/>
      <w:pPr>
        <w:ind w:left="7188" w:hanging="360"/>
      </w:pPr>
      <w:rPr>
        <w:rFonts w:ascii="Wingdings" w:hAnsi="Wingdings" w:hint="default"/>
      </w:rPr>
    </w:lvl>
  </w:abstractNum>
  <w:abstractNum w:abstractNumId="4" w15:restartNumberingAfterBreak="0">
    <w:nsid w:val="31426AAC"/>
    <w:multiLevelType w:val="hybridMultilevel"/>
    <w:tmpl w:val="9334B126"/>
    <w:lvl w:ilvl="0" w:tplc="8A22B39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3734B"/>
    <w:multiLevelType w:val="hybridMultilevel"/>
    <w:tmpl w:val="B394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87F0C"/>
    <w:multiLevelType w:val="multilevel"/>
    <w:tmpl w:val="A5BA6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4C515F"/>
    <w:multiLevelType w:val="hybridMultilevel"/>
    <w:tmpl w:val="E95A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D7E02"/>
    <w:multiLevelType w:val="hybridMultilevel"/>
    <w:tmpl w:val="C48A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B1BFE"/>
    <w:multiLevelType w:val="hybridMultilevel"/>
    <w:tmpl w:val="70306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90C75"/>
    <w:multiLevelType w:val="multilevel"/>
    <w:tmpl w:val="346A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A04DC"/>
    <w:multiLevelType w:val="multilevel"/>
    <w:tmpl w:val="2908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45CB4"/>
    <w:multiLevelType w:val="hybridMultilevel"/>
    <w:tmpl w:val="56F4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34280"/>
    <w:multiLevelType w:val="hybridMultilevel"/>
    <w:tmpl w:val="DF6E0E8E"/>
    <w:lvl w:ilvl="0" w:tplc="770A4C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650C7"/>
    <w:multiLevelType w:val="hybridMultilevel"/>
    <w:tmpl w:val="4D20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
  </w:num>
  <w:num w:numId="5">
    <w:abstractNumId w:val="6"/>
  </w:num>
  <w:num w:numId="6">
    <w:abstractNumId w:val="0"/>
  </w:num>
  <w:num w:numId="7">
    <w:abstractNumId w:val="12"/>
  </w:num>
  <w:num w:numId="8">
    <w:abstractNumId w:val="7"/>
  </w:num>
  <w:num w:numId="9">
    <w:abstractNumId w:val="5"/>
  </w:num>
  <w:num w:numId="10">
    <w:abstractNumId w:val="3"/>
  </w:num>
  <w:num w:numId="11">
    <w:abstractNumId w:val="8"/>
  </w:num>
  <w:num w:numId="12">
    <w:abstractNumId w:val="14"/>
  </w:num>
  <w:num w:numId="13">
    <w:abstractNumId w:val="1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33"/>
    <w:rsid w:val="00000D39"/>
    <w:rsid w:val="00001F82"/>
    <w:rsid w:val="00031545"/>
    <w:rsid w:val="000409BA"/>
    <w:rsid w:val="00092BD3"/>
    <w:rsid w:val="000D62E0"/>
    <w:rsid w:val="000E40B0"/>
    <w:rsid w:val="000E73AE"/>
    <w:rsid w:val="00114429"/>
    <w:rsid w:val="00155DAE"/>
    <w:rsid w:val="00192EE5"/>
    <w:rsid w:val="0020495E"/>
    <w:rsid w:val="00212BF9"/>
    <w:rsid w:val="002810B5"/>
    <w:rsid w:val="00296825"/>
    <w:rsid w:val="002A26D5"/>
    <w:rsid w:val="002A342B"/>
    <w:rsid w:val="0030551F"/>
    <w:rsid w:val="00307455"/>
    <w:rsid w:val="00343CB3"/>
    <w:rsid w:val="00375845"/>
    <w:rsid w:val="003C1730"/>
    <w:rsid w:val="003F6D7B"/>
    <w:rsid w:val="0043081C"/>
    <w:rsid w:val="00434FF6"/>
    <w:rsid w:val="00442B9E"/>
    <w:rsid w:val="00466EA3"/>
    <w:rsid w:val="004C0A10"/>
    <w:rsid w:val="004E4334"/>
    <w:rsid w:val="004F7F3B"/>
    <w:rsid w:val="00506DA3"/>
    <w:rsid w:val="0050788A"/>
    <w:rsid w:val="00517D1C"/>
    <w:rsid w:val="00535B32"/>
    <w:rsid w:val="00544D84"/>
    <w:rsid w:val="00554C66"/>
    <w:rsid w:val="00561013"/>
    <w:rsid w:val="005868FF"/>
    <w:rsid w:val="005A1006"/>
    <w:rsid w:val="005D72AD"/>
    <w:rsid w:val="00617835"/>
    <w:rsid w:val="00653385"/>
    <w:rsid w:val="00654DA0"/>
    <w:rsid w:val="00680E4A"/>
    <w:rsid w:val="006D0DFD"/>
    <w:rsid w:val="006F1996"/>
    <w:rsid w:val="00714C2E"/>
    <w:rsid w:val="00716B33"/>
    <w:rsid w:val="00732108"/>
    <w:rsid w:val="007330F0"/>
    <w:rsid w:val="007409AB"/>
    <w:rsid w:val="00756D15"/>
    <w:rsid w:val="00767BC2"/>
    <w:rsid w:val="0084759A"/>
    <w:rsid w:val="008901AD"/>
    <w:rsid w:val="008906E5"/>
    <w:rsid w:val="00900FF6"/>
    <w:rsid w:val="009039C7"/>
    <w:rsid w:val="00917FDB"/>
    <w:rsid w:val="00923A74"/>
    <w:rsid w:val="00931817"/>
    <w:rsid w:val="0093264B"/>
    <w:rsid w:val="00935FEB"/>
    <w:rsid w:val="00972C1B"/>
    <w:rsid w:val="00976F42"/>
    <w:rsid w:val="00995B7A"/>
    <w:rsid w:val="009A21D6"/>
    <w:rsid w:val="009A758D"/>
    <w:rsid w:val="009B4421"/>
    <w:rsid w:val="00A06F0B"/>
    <w:rsid w:val="00A30033"/>
    <w:rsid w:val="00A556D3"/>
    <w:rsid w:val="00A81661"/>
    <w:rsid w:val="00AA207D"/>
    <w:rsid w:val="00AB0332"/>
    <w:rsid w:val="00AD6C19"/>
    <w:rsid w:val="00B3403C"/>
    <w:rsid w:val="00B409E9"/>
    <w:rsid w:val="00B80192"/>
    <w:rsid w:val="00B82085"/>
    <w:rsid w:val="00B953B8"/>
    <w:rsid w:val="00BA1DF8"/>
    <w:rsid w:val="00BB0534"/>
    <w:rsid w:val="00C278EF"/>
    <w:rsid w:val="00C34DCC"/>
    <w:rsid w:val="00C365E8"/>
    <w:rsid w:val="00C87C2F"/>
    <w:rsid w:val="00C92D72"/>
    <w:rsid w:val="00C93516"/>
    <w:rsid w:val="00CA617B"/>
    <w:rsid w:val="00D446A4"/>
    <w:rsid w:val="00D5303D"/>
    <w:rsid w:val="00D91F9F"/>
    <w:rsid w:val="00DA6548"/>
    <w:rsid w:val="00DF191E"/>
    <w:rsid w:val="00E00FDF"/>
    <w:rsid w:val="00E25E64"/>
    <w:rsid w:val="00E260B2"/>
    <w:rsid w:val="00E41711"/>
    <w:rsid w:val="00E42B55"/>
    <w:rsid w:val="00E5600B"/>
    <w:rsid w:val="00EA79BE"/>
    <w:rsid w:val="00F4479A"/>
    <w:rsid w:val="00F9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3451"/>
  <w15:chartTrackingRefBased/>
  <w15:docId w15:val="{92AD218F-EDA4-45CA-AE4C-37BCE9B1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6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6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6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16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6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6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16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B33"/>
    <w:rPr>
      <w:rFonts w:eastAsiaTheme="majorEastAsia" w:cstheme="majorBidi"/>
      <w:color w:val="272727" w:themeColor="text1" w:themeTint="D8"/>
    </w:rPr>
  </w:style>
  <w:style w:type="paragraph" w:styleId="Title">
    <w:name w:val="Title"/>
    <w:basedOn w:val="Normal"/>
    <w:next w:val="Normal"/>
    <w:link w:val="TitleChar"/>
    <w:uiPriority w:val="10"/>
    <w:qFormat/>
    <w:rsid w:val="00716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B33"/>
    <w:pPr>
      <w:spacing w:before="160"/>
      <w:jc w:val="center"/>
    </w:pPr>
    <w:rPr>
      <w:i/>
      <w:iCs/>
      <w:color w:val="404040" w:themeColor="text1" w:themeTint="BF"/>
    </w:rPr>
  </w:style>
  <w:style w:type="character" w:customStyle="1" w:styleId="QuoteChar">
    <w:name w:val="Quote Char"/>
    <w:basedOn w:val="DefaultParagraphFont"/>
    <w:link w:val="Quote"/>
    <w:uiPriority w:val="29"/>
    <w:rsid w:val="00716B33"/>
    <w:rPr>
      <w:i/>
      <w:iCs/>
      <w:color w:val="404040" w:themeColor="text1" w:themeTint="BF"/>
    </w:rPr>
  </w:style>
  <w:style w:type="paragraph" w:styleId="ListParagraph">
    <w:name w:val="List Paragraph"/>
    <w:basedOn w:val="Normal"/>
    <w:uiPriority w:val="34"/>
    <w:qFormat/>
    <w:rsid w:val="00716B33"/>
    <w:pPr>
      <w:ind w:left="720"/>
      <w:contextualSpacing/>
    </w:pPr>
  </w:style>
  <w:style w:type="character" w:styleId="IntenseEmphasis">
    <w:name w:val="Intense Emphasis"/>
    <w:basedOn w:val="DefaultParagraphFont"/>
    <w:uiPriority w:val="21"/>
    <w:qFormat/>
    <w:rsid w:val="00716B33"/>
    <w:rPr>
      <w:i/>
      <w:iCs/>
      <w:color w:val="0F4761" w:themeColor="accent1" w:themeShade="BF"/>
    </w:rPr>
  </w:style>
  <w:style w:type="paragraph" w:styleId="IntenseQuote">
    <w:name w:val="Intense Quote"/>
    <w:basedOn w:val="Normal"/>
    <w:next w:val="Normal"/>
    <w:link w:val="IntenseQuoteChar"/>
    <w:uiPriority w:val="30"/>
    <w:qFormat/>
    <w:rsid w:val="00716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B33"/>
    <w:rPr>
      <w:i/>
      <w:iCs/>
      <w:color w:val="0F4761" w:themeColor="accent1" w:themeShade="BF"/>
    </w:rPr>
  </w:style>
  <w:style w:type="character" w:styleId="IntenseReference">
    <w:name w:val="Intense Reference"/>
    <w:basedOn w:val="DefaultParagraphFont"/>
    <w:uiPriority w:val="32"/>
    <w:qFormat/>
    <w:rsid w:val="00716B33"/>
    <w:rPr>
      <w:b/>
      <w:bCs/>
      <w:smallCaps/>
      <w:color w:val="0F4761" w:themeColor="accent1" w:themeShade="BF"/>
      <w:spacing w:val="5"/>
    </w:rPr>
  </w:style>
  <w:style w:type="character" w:styleId="Hyperlink">
    <w:name w:val="Hyperlink"/>
    <w:basedOn w:val="DefaultParagraphFont"/>
    <w:uiPriority w:val="99"/>
    <w:unhideWhenUsed/>
    <w:rsid w:val="00DA6548"/>
    <w:rPr>
      <w:color w:val="467886" w:themeColor="hyperlink"/>
      <w:u w:val="single"/>
    </w:rPr>
  </w:style>
  <w:style w:type="character" w:customStyle="1" w:styleId="UnresolvedMention1">
    <w:name w:val="Unresolved Mention1"/>
    <w:basedOn w:val="DefaultParagraphFont"/>
    <w:uiPriority w:val="99"/>
    <w:semiHidden/>
    <w:unhideWhenUsed/>
    <w:rsid w:val="00DA6548"/>
    <w:rPr>
      <w:color w:val="605E5C"/>
      <w:shd w:val="clear" w:color="auto" w:fill="E1DFDD"/>
    </w:rPr>
  </w:style>
  <w:style w:type="paragraph" w:styleId="NormalWeb">
    <w:name w:val="Normal (Web)"/>
    <w:basedOn w:val="Normal"/>
    <w:uiPriority w:val="99"/>
    <w:unhideWhenUsed/>
    <w:rsid w:val="00192EE5"/>
    <w:rPr>
      <w:rFonts w:ascii="Times New Roman" w:hAnsi="Times New Roman" w:cs="Times New Roman"/>
      <w:sz w:val="24"/>
      <w:szCs w:val="24"/>
    </w:rPr>
  </w:style>
  <w:style w:type="paragraph" w:styleId="FootnoteText">
    <w:name w:val="footnote text"/>
    <w:aliases w:val="single space,footnote text,fn,Footnote Text Char1 Char1,Footnote Text Char Char Char1,Footnote Text Char1 Char Char,Footnote Text Char Char Char Char,FOOTNOTES,ADB,WB-Fußnotentext,Footnote,Fußnote Char Char Char Char,de nota al pie,Ref"/>
    <w:basedOn w:val="Normal"/>
    <w:link w:val="FootnoteTextChar"/>
    <w:uiPriority w:val="99"/>
    <w:unhideWhenUsed/>
    <w:qFormat/>
    <w:rsid w:val="009B4421"/>
    <w:pPr>
      <w:spacing w:after="0" w:line="240" w:lineRule="auto"/>
    </w:pPr>
    <w:rPr>
      <w:kern w:val="0"/>
      <w:sz w:val="20"/>
      <w:szCs w:val="20"/>
      <w14:ligatures w14:val="none"/>
    </w:rPr>
  </w:style>
  <w:style w:type="character" w:customStyle="1" w:styleId="FootnoteTextChar">
    <w:name w:val="Footnote Text Char"/>
    <w:aliases w:val="single space Char,footnote text Char,fn Char,Footnote Text Char1 Char1 Char,Footnote Text Char Char Char1 Char,Footnote Text Char1 Char Char Char,Footnote Text Char Char Char Char Char,FOOTNOTES Char,ADB Char,WB-Fußnotentext Char"/>
    <w:basedOn w:val="DefaultParagraphFont"/>
    <w:link w:val="FootnoteText"/>
    <w:uiPriority w:val="99"/>
    <w:rsid w:val="009B4421"/>
    <w:rPr>
      <w:kern w:val="0"/>
      <w:sz w:val="20"/>
      <w:szCs w:val="20"/>
      <w14:ligatures w14:val="none"/>
    </w:rPr>
  </w:style>
  <w:style w:type="character" w:styleId="FootnoteReference">
    <w:name w:val="footnote reference"/>
    <w:aliases w:val="BVI fnr,Balloon Text Char2 Char1,Balloon Text Char1 Char Char1,ftref,fr,Footnote Reference Number,Footnote Reference_LVL6,Footnote Reference_LVL61,Footnote Reference_LVL62,Footnote Reference_LVL63,Footnote Reference_LVL64"/>
    <w:basedOn w:val="DefaultParagraphFont"/>
    <w:uiPriority w:val="99"/>
    <w:unhideWhenUsed/>
    <w:qFormat/>
    <w:rsid w:val="009B4421"/>
    <w:rPr>
      <w:vertAlign w:val="superscript"/>
    </w:rPr>
  </w:style>
  <w:style w:type="character" w:styleId="Strong">
    <w:name w:val="Strong"/>
    <w:basedOn w:val="DefaultParagraphFont"/>
    <w:uiPriority w:val="22"/>
    <w:qFormat/>
    <w:rsid w:val="009A21D6"/>
    <w:rPr>
      <w:b/>
      <w:bCs/>
    </w:rPr>
  </w:style>
  <w:style w:type="table" w:styleId="TableGrid">
    <w:name w:val="Table Grid"/>
    <w:basedOn w:val="TableNormal"/>
    <w:uiPriority w:val="39"/>
    <w:rsid w:val="00931817"/>
    <w:pPr>
      <w:spacing w:after="0" w:line="240" w:lineRule="auto"/>
    </w:pPr>
    <w:rPr>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1817"/>
    <w:pPr>
      <w:spacing w:after="200" w:line="240" w:lineRule="auto"/>
    </w:pPr>
    <w:rPr>
      <w:i/>
      <w:iCs/>
      <w:color w:val="0E2841" w:themeColor="text2"/>
      <w:sz w:val="18"/>
      <w:szCs w:val="18"/>
      <w:lang w:val="hy-AM"/>
    </w:rPr>
  </w:style>
  <w:style w:type="paragraph" w:styleId="Header">
    <w:name w:val="header"/>
    <w:basedOn w:val="Normal"/>
    <w:link w:val="HeaderChar"/>
    <w:uiPriority w:val="99"/>
    <w:unhideWhenUsed/>
    <w:rsid w:val="005A1006"/>
    <w:pPr>
      <w:tabs>
        <w:tab w:val="center" w:pos="4844"/>
        <w:tab w:val="right" w:pos="9689"/>
      </w:tabs>
      <w:spacing w:after="0" w:line="240" w:lineRule="auto"/>
    </w:pPr>
  </w:style>
  <w:style w:type="character" w:customStyle="1" w:styleId="HeaderChar">
    <w:name w:val="Header Char"/>
    <w:basedOn w:val="DefaultParagraphFont"/>
    <w:link w:val="Header"/>
    <w:uiPriority w:val="99"/>
    <w:rsid w:val="005A1006"/>
  </w:style>
  <w:style w:type="paragraph" w:styleId="Footer">
    <w:name w:val="footer"/>
    <w:basedOn w:val="Normal"/>
    <w:link w:val="FooterChar"/>
    <w:uiPriority w:val="99"/>
    <w:unhideWhenUsed/>
    <w:rsid w:val="005A100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A1006"/>
  </w:style>
  <w:style w:type="character" w:customStyle="1" w:styleId="UnresolvedMention">
    <w:name w:val="Unresolved Mention"/>
    <w:basedOn w:val="DefaultParagraphFont"/>
    <w:uiPriority w:val="99"/>
    <w:rsid w:val="0089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70">
      <w:bodyDiv w:val="1"/>
      <w:marLeft w:val="0"/>
      <w:marRight w:val="0"/>
      <w:marTop w:val="0"/>
      <w:marBottom w:val="0"/>
      <w:divBdr>
        <w:top w:val="none" w:sz="0" w:space="0" w:color="auto"/>
        <w:left w:val="none" w:sz="0" w:space="0" w:color="auto"/>
        <w:bottom w:val="none" w:sz="0" w:space="0" w:color="auto"/>
        <w:right w:val="none" w:sz="0" w:space="0" w:color="auto"/>
      </w:divBdr>
    </w:div>
    <w:div w:id="78185825">
      <w:bodyDiv w:val="1"/>
      <w:marLeft w:val="0"/>
      <w:marRight w:val="0"/>
      <w:marTop w:val="0"/>
      <w:marBottom w:val="0"/>
      <w:divBdr>
        <w:top w:val="none" w:sz="0" w:space="0" w:color="auto"/>
        <w:left w:val="none" w:sz="0" w:space="0" w:color="auto"/>
        <w:bottom w:val="none" w:sz="0" w:space="0" w:color="auto"/>
        <w:right w:val="none" w:sz="0" w:space="0" w:color="auto"/>
      </w:divBdr>
    </w:div>
    <w:div w:id="315257061">
      <w:bodyDiv w:val="1"/>
      <w:marLeft w:val="0"/>
      <w:marRight w:val="0"/>
      <w:marTop w:val="0"/>
      <w:marBottom w:val="0"/>
      <w:divBdr>
        <w:top w:val="none" w:sz="0" w:space="0" w:color="auto"/>
        <w:left w:val="none" w:sz="0" w:space="0" w:color="auto"/>
        <w:bottom w:val="none" w:sz="0" w:space="0" w:color="auto"/>
        <w:right w:val="none" w:sz="0" w:space="0" w:color="auto"/>
      </w:divBdr>
      <w:divsChild>
        <w:div w:id="1584296051">
          <w:marLeft w:val="0"/>
          <w:marRight w:val="0"/>
          <w:marTop w:val="0"/>
          <w:marBottom w:val="0"/>
          <w:divBdr>
            <w:top w:val="none" w:sz="0" w:space="0" w:color="auto"/>
            <w:left w:val="none" w:sz="0" w:space="0" w:color="auto"/>
            <w:bottom w:val="none" w:sz="0" w:space="0" w:color="auto"/>
            <w:right w:val="none" w:sz="0" w:space="0" w:color="auto"/>
          </w:divBdr>
          <w:divsChild>
            <w:div w:id="1431006405">
              <w:marLeft w:val="0"/>
              <w:marRight w:val="0"/>
              <w:marTop w:val="0"/>
              <w:marBottom w:val="0"/>
              <w:divBdr>
                <w:top w:val="none" w:sz="0" w:space="0" w:color="auto"/>
                <w:left w:val="none" w:sz="0" w:space="0" w:color="auto"/>
                <w:bottom w:val="none" w:sz="0" w:space="0" w:color="auto"/>
                <w:right w:val="none" w:sz="0" w:space="0" w:color="auto"/>
              </w:divBdr>
              <w:divsChild>
                <w:div w:id="231501787">
                  <w:marLeft w:val="0"/>
                  <w:marRight w:val="0"/>
                  <w:marTop w:val="0"/>
                  <w:marBottom w:val="0"/>
                  <w:divBdr>
                    <w:top w:val="none" w:sz="0" w:space="0" w:color="auto"/>
                    <w:left w:val="none" w:sz="0" w:space="0" w:color="auto"/>
                    <w:bottom w:val="none" w:sz="0" w:space="0" w:color="auto"/>
                    <w:right w:val="none" w:sz="0" w:space="0" w:color="auto"/>
                  </w:divBdr>
                  <w:divsChild>
                    <w:div w:id="18572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6410">
      <w:bodyDiv w:val="1"/>
      <w:marLeft w:val="0"/>
      <w:marRight w:val="0"/>
      <w:marTop w:val="0"/>
      <w:marBottom w:val="0"/>
      <w:divBdr>
        <w:top w:val="none" w:sz="0" w:space="0" w:color="auto"/>
        <w:left w:val="none" w:sz="0" w:space="0" w:color="auto"/>
        <w:bottom w:val="none" w:sz="0" w:space="0" w:color="auto"/>
        <w:right w:val="none" w:sz="0" w:space="0" w:color="auto"/>
      </w:divBdr>
    </w:div>
    <w:div w:id="1283029514">
      <w:bodyDiv w:val="1"/>
      <w:marLeft w:val="0"/>
      <w:marRight w:val="0"/>
      <w:marTop w:val="0"/>
      <w:marBottom w:val="0"/>
      <w:divBdr>
        <w:top w:val="none" w:sz="0" w:space="0" w:color="auto"/>
        <w:left w:val="none" w:sz="0" w:space="0" w:color="auto"/>
        <w:bottom w:val="none" w:sz="0" w:space="0" w:color="auto"/>
        <w:right w:val="none" w:sz="0" w:space="0" w:color="auto"/>
      </w:divBdr>
    </w:div>
    <w:div w:id="1982691744">
      <w:bodyDiv w:val="1"/>
      <w:marLeft w:val="0"/>
      <w:marRight w:val="0"/>
      <w:marTop w:val="0"/>
      <w:marBottom w:val="0"/>
      <w:divBdr>
        <w:top w:val="none" w:sz="0" w:space="0" w:color="auto"/>
        <w:left w:val="none" w:sz="0" w:space="0" w:color="auto"/>
        <w:bottom w:val="none" w:sz="0" w:space="0" w:color="auto"/>
        <w:right w:val="none" w:sz="0" w:space="0" w:color="auto"/>
      </w:divBdr>
      <w:divsChild>
        <w:div w:id="1553493913">
          <w:marLeft w:val="0"/>
          <w:marRight w:val="0"/>
          <w:marTop w:val="0"/>
          <w:marBottom w:val="0"/>
          <w:divBdr>
            <w:top w:val="none" w:sz="0" w:space="0" w:color="auto"/>
            <w:left w:val="none" w:sz="0" w:space="0" w:color="auto"/>
            <w:bottom w:val="none" w:sz="0" w:space="0" w:color="auto"/>
            <w:right w:val="none" w:sz="0" w:space="0" w:color="auto"/>
          </w:divBdr>
          <w:divsChild>
            <w:div w:id="962151004">
              <w:marLeft w:val="0"/>
              <w:marRight w:val="0"/>
              <w:marTop w:val="0"/>
              <w:marBottom w:val="0"/>
              <w:divBdr>
                <w:top w:val="none" w:sz="0" w:space="0" w:color="auto"/>
                <w:left w:val="none" w:sz="0" w:space="0" w:color="auto"/>
                <w:bottom w:val="none" w:sz="0" w:space="0" w:color="auto"/>
                <w:right w:val="none" w:sz="0" w:space="0" w:color="auto"/>
              </w:divBdr>
              <w:divsChild>
                <w:div w:id="1773083928">
                  <w:marLeft w:val="0"/>
                  <w:marRight w:val="0"/>
                  <w:marTop w:val="0"/>
                  <w:marBottom w:val="0"/>
                  <w:divBdr>
                    <w:top w:val="none" w:sz="0" w:space="0" w:color="auto"/>
                    <w:left w:val="none" w:sz="0" w:space="0" w:color="auto"/>
                    <w:bottom w:val="none" w:sz="0" w:space="0" w:color="auto"/>
                    <w:right w:val="none" w:sz="0" w:space="0" w:color="auto"/>
                  </w:divBdr>
                  <w:divsChild>
                    <w:div w:id="1588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rm.sputniknews.ru/20231008/hhum-kasecvel-e-kensagazi-artadrutjan-miak-licenzian-gvortsarani-hamar-gnvord-en-pntrum-66954209.html" TargetMode="External"/><Relationship Id="rId3" Type="http://schemas.openxmlformats.org/officeDocument/2006/relationships/hyperlink" Target="https://web.archive.org/web/20220331121300/https://www.ecolur.org/hy/news/officials/13267/" TargetMode="External"/><Relationship Id="rId7" Type="http://schemas.openxmlformats.org/officeDocument/2006/relationships/hyperlink" Target="https://armenpress.am/hy/article/448595" TargetMode="External"/><Relationship Id="rId2" Type="http://schemas.openxmlformats.org/officeDocument/2006/relationships/hyperlink" Target="https://web.archive.org/web/20220804083631/https://www.e-gov.am/gov-decrees/item/33223/" TargetMode="External"/><Relationship Id="rId1" Type="http://schemas.openxmlformats.org/officeDocument/2006/relationships/hyperlink" Target="https://www.arlis.am/DocumentView.aspx?docid=161408" TargetMode="External"/><Relationship Id="rId6" Type="http://schemas.openxmlformats.org/officeDocument/2006/relationships/hyperlink" Target="http://www.minenergy.am/page/verakang" TargetMode="External"/><Relationship Id="rId5" Type="http://schemas.openxmlformats.org/officeDocument/2006/relationships/hyperlink" Target="https://www.gem.wiki/Ayg-1_solar_farm" TargetMode="External"/><Relationship Id="rId10" Type="http://schemas.openxmlformats.org/officeDocument/2006/relationships/hyperlink" Target="https://eu-armenia.am/energy" TargetMode="External"/><Relationship Id="rId4" Type="http://schemas.openxmlformats.org/officeDocument/2006/relationships/hyperlink" Target="https://www.hetq.am/hy/article/157962" TargetMode="External"/><Relationship Id="rId9" Type="http://schemas.openxmlformats.org/officeDocument/2006/relationships/hyperlink" Target="http://www.mathnet.ru/links/434d0b29615e0924254275313da59a7a/nuaca2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21C0-2AA4-44DF-997F-B1304E0B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Gurgen Petrossian</dc:creator>
  <cp:keywords/>
  <dc:description/>
  <cp:lastModifiedBy>Hovsep</cp:lastModifiedBy>
  <cp:revision>4</cp:revision>
  <cp:lastPrinted>2026-01-26T19:41:00Z</cp:lastPrinted>
  <dcterms:created xsi:type="dcterms:W3CDTF">2026-01-26T19:39:00Z</dcterms:created>
  <dcterms:modified xsi:type="dcterms:W3CDTF">2026-01-26T19:42:00Z</dcterms:modified>
</cp:coreProperties>
</file>